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58" w:lineRule="exact"/>
        <w:rPr>
          <w:sz w:val="24"/>
          <w:szCs w:val="24"/>
          <w:color w:val="auto"/>
        </w:rPr>
      </w:pPr>
    </w:p>
    <w:p>
      <w:pPr>
        <w:jc w:val="center"/>
        <w:ind w:left="3860" w:right="1300" w:hanging="2450"/>
        <w:spacing w:after="0" w:line="280" w:lineRule="auto"/>
        <w:tabs>
          <w:tab w:leader="none" w:pos="161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109855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TEJON RANCH CO.</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77-0196136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(I.R.S. Employer Identification No.)</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P.O. Box 1000, Tejon Ranch, California 93243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(661) 248-3000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4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$0.50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TRC</w:t>
            </w:r>
          </w:p>
        </w:tc>
        <w:tc>
          <w:tcPr>
            <w:tcW w:w="100" w:type="dxa"/>
            <w:vAlign w:val="bottom"/>
          </w:tcPr>
          <w:p>
            <w:pPr>
              <w:spacing w:after="0"/>
              <w:rPr>
                <w:sz w:val="19"/>
                <w:szCs w:val="19"/>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63" w:lineRule="exact"/>
        <w:rPr>
          <w:sz w:val="24"/>
          <w:szCs w:val="24"/>
          <w:color w:val="auto"/>
        </w:rPr>
      </w:pPr>
    </w:p>
    <w:p>
      <w:pPr>
        <w:ind w:left="20" w:right="260"/>
        <w:spacing w:after="0" w:line="18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2" w:lineRule="exact"/>
        <w:rPr>
          <w:sz w:val="24"/>
          <w:szCs w:val="24"/>
          <w:color w:val="auto"/>
        </w:rPr>
      </w:pPr>
    </w:p>
    <w:p>
      <w:pPr>
        <w:ind w:left="20" w:right="280"/>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1" w:lineRule="exact"/>
        <w:rPr>
          <w:sz w:val="24"/>
          <w:szCs w:val="24"/>
          <w:color w:val="auto"/>
        </w:rPr>
      </w:pPr>
    </w:p>
    <w:p>
      <w:pPr>
        <w:ind w:left="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958" w:right="439" w:bottom="1440" w:gutter="0" w:footer="0" w:header="0"/>
        </w:sectPr>
      </w:pPr>
    </w:p>
    <w:p>
      <w:pPr>
        <w:spacing w:after="0" w:line="106"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11" w:lineRule="exact"/>
        <w:rPr>
          <w:sz w:val="24"/>
          <w:szCs w:val="24"/>
          <w:color w:val="auto"/>
        </w:rPr>
      </w:pPr>
    </w:p>
    <w:p>
      <w:pPr>
        <w:sectPr>
          <w:pgSz w:w="11900" w:h="16838" w:orient="portrait"/>
          <w:cols w:equalWidth="0" w:num="2">
            <w:col w:w="4540" w:space="720"/>
            <w:col w:w="5880"/>
          </w:cols>
          <w:pgMar w:left="320" w:top="958" w:right="439" w:bottom="1440" w:gutter="0" w:footer="0" w:header="0"/>
          <w:type w:val="continuous"/>
        </w:sectPr>
      </w:pPr>
    </w:p>
    <w:p>
      <w:pPr>
        <w:ind w:left="2120"/>
        <w:spacing w:after="0" w:line="173"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17" w:lineRule="exact"/>
        <w:rPr>
          <w:sz w:val="24"/>
          <w:szCs w:val="24"/>
          <w:color w:val="auto"/>
        </w:rPr>
      </w:pPr>
    </w:p>
    <w:p>
      <w:pPr>
        <w:sectPr>
          <w:pgSz w:w="11900" w:h="16838" w:orient="portrait"/>
          <w:cols w:equalWidth="0" w:num="2">
            <w:col w:w="3840" w:space="720"/>
            <w:col w:w="6580"/>
          </w:cols>
          <w:pgMar w:left="320" w:top="958" w:right="439" w:bottom="1440" w:gutter="0" w:footer="0" w:header="0"/>
          <w:type w:val="continuous"/>
        </w:sectPr>
      </w:pPr>
    </w:p>
    <w:p>
      <w:pPr>
        <w:jc w:val="center"/>
        <w:ind w:right="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140"/>
          </w:cols>
          <w:pgMar w:left="320" w:top="958" w:right="439" w:bottom="1440" w:gutter="0" w:footer="0" w:header="0"/>
          <w:type w:val="continuous"/>
        </w:sectPr>
      </w:pPr>
    </w:p>
    <w:p>
      <w:pPr>
        <w:spacing w:after="0" w:line="233" w:lineRule="exact"/>
        <w:rPr>
          <w:sz w:val="24"/>
          <w:szCs w:val="24"/>
          <w:color w:val="auto"/>
        </w:rPr>
      </w:pPr>
    </w:p>
    <w:p>
      <w:pPr>
        <w:ind w:left="20" w:right="460"/>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3"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the Company’s outstanding shares of Common Stock on October 31, 2023 was 26,734,193.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vMerge w:val="restart"/>
          </w:tcPr>
          <w:p>
            <w:pPr>
              <w:ind w:left="20"/>
              <w:spacing w:after="0"/>
              <w:rPr>
                <w:sz w:val="20"/>
                <w:szCs w:val="20"/>
                <w:color w:val="auto"/>
              </w:rPr>
            </w:pPr>
            <w:r>
              <w:rPr>
                <w:rFonts w:ascii="Arial" w:cs="Arial" w:eastAsia="Arial" w:hAnsi="Arial"/>
                <w:sz w:val="18"/>
                <w:szCs w:val="18"/>
                <w:color w:val="auto"/>
              </w:rPr>
              <w:t>PART I.</w:t>
            </w:r>
          </w:p>
        </w:tc>
        <w:tc>
          <w:tcPr>
            <w:tcW w:w="948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w w:val="97"/>
              </w:rPr>
              <w:t>Unaudited Consolidated Statements of Operations for the Three and Nine Months Ended September 30, 2023 and 2022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w w:val="91"/>
              </w:rPr>
              <w:t>Unaudited Consolidated Statements of Comprehensive Income for the Three and Nine Months Ended September 30, 2023 and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2022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Consolidated Balance Sheets as of September 30, 2023 (unaudited) and December 31, 2022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Unaudited Consolidated Statements of Cash Flows for the Nine Months Ended September 30, 2023 and 2022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w w:val="93"/>
              </w:rPr>
              <w:t>Unaudited Consolidated Statement of Changes in Equity and Non-controlling Interests for the Three and Nine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September 30, 2023 and 2022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Notes to Unaudited Consolidated Financial Statements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48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PART II.</w:t>
            </w:r>
          </w:p>
        </w:tc>
        <w:tc>
          <w:tcPr>
            <w:tcW w:w="948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1A.</w:t>
            </w:r>
          </w:p>
        </w:tc>
        <w:tc>
          <w:tcPr>
            <w:tcW w:w="948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48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tcPr>
          <w:p>
            <w:pPr>
              <w:ind w:left="160"/>
              <w:spacing w:after="0"/>
              <w:rPr>
                <w:sz w:val="20"/>
                <w:szCs w:val="20"/>
                <w:color w:val="auto"/>
              </w:rPr>
            </w:pPr>
            <w:r>
              <w:rPr>
                <w:rFonts w:ascii="Arial" w:cs="Arial" w:eastAsia="Arial" w:hAnsi="Arial"/>
                <w:sz w:val="18"/>
                <w:szCs w:val="18"/>
                <w:color w:val="auto"/>
              </w:rPr>
              <w:t>Defaults Upon Senior Securities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5.</w:t>
            </w:r>
          </w:p>
        </w:tc>
        <w:tc>
          <w:tcPr>
            <w:tcW w:w="948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6.</w:t>
            </w:r>
          </w:p>
        </w:tc>
        <w:tc>
          <w:tcPr>
            <w:tcW w:w="9480" w:type="dxa"/>
            <w:vAlign w:val="bottom"/>
          </w:tcPr>
          <w:p>
            <w:pPr>
              <w:ind w:left="160"/>
              <w:spacing w:after="0"/>
              <w:rPr>
                <w:sz w:val="20"/>
                <w:szCs w:val="20"/>
                <w:color w:val="auto"/>
              </w:rPr>
            </w:pPr>
            <w:r>
              <w:rPr>
                <w:rFonts w:ascii="Arial" w:cs="Arial" w:eastAsia="Arial" w:hAnsi="Arial"/>
                <w:sz w:val="18"/>
                <w:szCs w:val="18"/>
                <w:color w:val="auto"/>
              </w:rPr>
              <w:t>Exhibits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91"/>
        </w:trPr>
        <w:tc>
          <w:tcPr>
            <w:tcW w:w="10300" w:type="dxa"/>
            <w:vAlign w:val="bottom"/>
            <w:gridSpan w:val="2"/>
          </w:tcPr>
          <w:p>
            <w:pPr>
              <w:ind w:left="20"/>
              <w:spacing w:after="0"/>
              <w:rPr>
                <w:sz w:val="20"/>
                <w:szCs w:val="20"/>
                <w:color w:val="auto"/>
              </w:rPr>
            </w:pPr>
            <w:r>
              <w:rPr>
                <w:rFonts w:ascii="Arial" w:cs="Arial" w:eastAsia="Arial" w:hAnsi="Arial"/>
                <w:sz w:val="18"/>
                <w:szCs w:val="18"/>
                <w:color w:val="auto"/>
              </w:rPr>
              <w:t>SIGNATURES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864"/>
        </w:trPr>
        <w:tc>
          <w:tcPr>
            <w:tcW w:w="820" w:type="dxa"/>
            <w:vAlign w:val="bottom"/>
          </w:tcPr>
          <w:p>
            <w:pPr>
              <w:spacing w:after="0"/>
              <w:rPr>
                <w:sz w:val="24"/>
                <w:szCs w:val="24"/>
                <w:color w:val="auto"/>
              </w:rPr>
            </w:pPr>
          </w:p>
        </w:tc>
        <w:tc>
          <w:tcPr>
            <w:tcW w:w="9480" w:type="dxa"/>
            <w:vAlign w:val="bottom"/>
          </w:tcPr>
          <w:p>
            <w:pPr>
              <w:ind w:left="47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006EBF"/>
        </w:rPr>
        <w:t>Glossary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initialisms or acronyms may be used in this document and shall be defined as set forth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AKIP</w:t>
            </w:r>
          </w:p>
        </w:tc>
        <w:tc>
          <w:tcPr>
            <w:tcW w:w="9620" w:type="dxa"/>
            <w:vAlign w:val="bottom"/>
          </w:tcPr>
          <w:p>
            <w:pPr>
              <w:ind w:left="720"/>
              <w:spacing w:after="0"/>
              <w:rPr>
                <w:sz w:val="20"/>
                <w:szCs w:val="20"/>
                <w:color w:val="auto"/>
              </w:rPr>
            </w:pPr>
            <w:r>
              <w:rPr>
                <w:rFonts w:ascii="Arial" w:cs="Arial" w:eastAsia="Arial" w:hAnsi="Arial"/>
                <w:sz w:val="18"/>
                <w:szCs w:val="18"/>
                <w:color w:val="auto"/>
              </w:rPr>
              <w:t>Advance Kern Incentive Program</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ASC</w:t>
            </w:r>
          </w:p>
        </w:tc>
        <w:tc>
          <w:tcPr>
            <w:tcW w:w="9620" w:type="dxa"/>
            <w:vAlign w:val="bottom"/>
          </w:tcPr>
          <w:p>
            <w:pPr>
              <w:ind w:left="72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ASU</w:t>
            </w:r>
          </w:p>
        </w:tc>
        <w:tc>
          <w:tcPr>
            <w:tcW w:w="9620" w:type="dxa"/>
            <w:vAlign w:val="bottom"/>
          </w:tcPr>
          <w:p>
            <w:pPr>
              <w:ind w:left="720"/>
              <w:spacing w:after="0"/>
              <w:rPr>
                <w:sz w:val="20"/>
                <w:szCs w:val="20"/>
                <w:color w:val="auto"/>
              </w:rPr>
            </w:pPr>
            <w:r>
              <w:rPr>
                <w:rFonts w:ascii="Arial" w:cs="Arial" w:eastAsia="Arial" w:hAnsi="Arial"/>
                <w:sz w:val="18"/>
                <w:szCs w:val="18"/>
                <w:color w:val="auto"/>
              </w:rPr>
              <w:t>Accounting Standards Update</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AVEK</w:t>
            </w:r>
          </w:p>
        </w:tc>
        <w:tc>
          <w:tcPr>
            <w:tcW w:w="9620" w:type="dxa"/>
            <w:vAlign w:val="bottom"/>
          </w:tcPr>
          <w:p>
            <w:pPr>
              <w:ind w:left="720"/>
              <w:spacing w:after="0"/>
              <w:rPr>
                <w:sz w:val="20"/>
                <w:szCs w:val="20"/>
                <w:color w:val="auto"/>
              </w:rPr>
            </w:pPr>
            <w:r>
              <w:rPr>
                <w:rFonts w:ascii="Arial" w:cs="Arial" w:eastAsia="Arial" w:hAnsi="Arial"/>
                <w:sz w:val="18"/>
                <w:szCs w:val="18"/>
                <w:color w:val="auto"/>
              </w:rPr>
              <w:t>Antelope Valley East Kern Water Agency</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CFL</w:t>
            </w:r>
          </w:p>
        </w:tc>
        <w:tc>
          <w:tcPr>
            <w:tcW w:w="9620" w:type="dxa"/>
            <w:vAlign w:val="bottom"/>
          </w:tcPr>
          <w:p>
            <w:pPr>
              <w:ind w:left="720"/>
              <w:spacing w:after="0"/>
              <w:rPr>
                <w:sz w:val="20"/>
                <w:szCs w:val="20"/>
                <w:color w:val="auto"/>
              </w:rPr>
            </w:pPr>
            <w:r>
              <w:rPr>
                <w:rFonts w:ascii="Arial" w:cs="Arial" w:eastAsia="Arial" w:hAnsi="Arial"/>
                <w:sz w:val="18"/>
                <w:szCs w:val="18"/>
                <w:color w:val="auto"/>
              </w:rPr>
              <w:t>Centennial Founders, LLC</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CBD</w:t>
            </w:r>
          </w:p>
        </w:tc>
        <w:tc>
          <w:tcPr>
            <w:tcW w:w="9620" w:type="dxa"/>
            <w:vAlign w:val="bottom"/>
          </w:tcPr>
          <w:p>
            <w:pPr>
              <w:ind w:left="720"/>
              <w:spacing w:after="0"/>
              <w:rPr>
                <w:sz w:val="20"/>
                <w:szCs w:val="20"/>
                <w:color w:val="auto"/>
              </w:rPr>
            </w:pPr>
            <w:r>
              <w:rPr>
                <w:rFonts w:ascii="Arial" w:cs="Arial" w:eastAsia="Arial" w:hAnsi="Arial"/>
                <w:sz w:val="18"/>
                <w:szCs w:val="18"/>
                <w:color w:val="auto"/>
              </w:rPr>
              <w:t>Center for Biological Diversity</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CEQA</w:t>
            </w:r>
          </w:p>
        </w:tc>
        <w:tc>
          <w:tcPr>
            <w:tcW w:w="9620" w:type="dxa"/>
            <w:vAlign w:val="bottom"/>
          </w:tcPr>
          <w:p>
            <w:pPr>
              <w:ind w:left="720"/>
              <w:spacing w:after="0"/>
              <w:rPr>
                <w:sz w:val="20"/>
                <w:szCs w:val="20"/>
                <w:color w:val="auto"/>
              </w:rPr>
            </w:pPr>
            <w:r>
              <w:rPr>
                <w:rFonts w:ascii="Arial" w:cs="Arial" w:eastAsia="Arial" w:hAnsi="Arial"/>
                <w:sz w:val="18"/>
                <w:szCs w:val="18"/>
                <w:color w:val="auto"/>
              </w:rPr>
              <w:t>California Environmental Quality Act</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CFD</w:t>
            </w:r>
          </w:p>
        </w:tc>
        <w:tc>
          <w:tcPr>
            <w:tcW w:w="9620" w:type="dxa"/>
            <w:vAlign w:val="bottom"/>
          </w:tcPr>
          <w:p>
            <w:pPr>
              <w:ind w:left="720"/>
              <w:spacing w:after="0"/>
              <w:rPr>
                <w:sz w:val="20"/>
                <w:szCs w:val="20"/>
                <w:color w:val="auto"/>
              </w:rPr>
            </w:pPr>
            <w:r>
              <w:rPr>
                <w:rFonts w:ascii="Arial" w:cs="Arial" w:eastAsia="Arial" w:hAnsi="Arial"/>
                <w:sz w:val="18"/>
                <w:szCs w:val="18"/>
                <w:color w:val="auto"/>
              </w:rPr>
              <w:t>Community Facilities District</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CNPS</w:t>
            </w:r>
          </w:p>
        </w:tc>
        <w:tc>
          <w:tcPr>
            <w:tcW w:w="9620" w:type="dxa"/>
            <w:vAlign w:val="bottom"/>
          </w:tcPr>
          <w:p>
            <w:pPr>
              <w:ind w:left="720"/>
              <w:spacing w:after="0"/>
              <w:rPr>
                <w:sz w:val="20"/>
                <w:szCs w:val="20"/>
                <w:color w:val="auto"/>
              </w:rPr>
            </w:pPr>
            <w:r>
              <w:rPr>
                <w:rFonts w:ascii="Arial" w:cs="Arial" w:eastAsia="Arial" w:hAnsi="Arial"/>
                <w:sz w:val="18"/>
                <w:szCs w:val="18"/>
                <w:color w:val="auto"/>
              </w:rPr>
              <w:t>California Native Plant Society</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EBITDA</w:t>
            </w:r>
          </w:p>
        </w:tc>
        <w:tc>
          <w:tcPr>
            <w:tcW w:w="9620" w:type="dxa"/>
            <w:vAlign w:val="bottom"/>
          </w:tcPr>
          <w:p>
            <w:pPr>
              <w:ind w:left="720"/>
              <w:spacing w:after="0"/>
              <w:rPr>
                <w:sz w:val="20"/>
                <w:szCs w:val="20"/>
                <w:color w:val="auto"/>
              </w:rPr>
            </w:pPr>
            <w:r>
              <w:rPr>
                <w:rFonts w:ascii="Arial" w:cs="Arial" w:eastAsia="Arial" w:hAnsi="Arial"/>
                <w:sz w:val="18"/>
                <w:szCs w:val="18"/>
                <w:color w:val="auto"/>
              </w:rPr>
              <w:t>Earnings Before Interest Tax Depreciation and Amortization</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EIR</w:t>
            </w:r>
          </w:p>
        </w:tc>
        <w:tc>
          <w:tcPr>
            <w:tcW w:w="9620" w:type="dxa"/>
            <w:vAlign w:val="bottom"/>
          </w:tcPr>
          <w:p>
            <w:pPr>
              <w:ind w:left="720"/>
              <w:spacing w:after="0"/>
              <w:rPr>
                <w:sz w:val="20"/>
                <w:szCs w:val="20"/>
                <w:color w:val="auto"/>
              </w:rPr>
            </w:pPr>
            <w:r>
              <w:rPr>
                <w:rFonts w:ascii="Arial" w:cs="Arial" w:eastAsia="Arial" w:hAnsi="Arial"/>
                <w:sz w:val="18"/>
                <w:szCs w:val="18"/>
                <w:color w:val="auto"/>
              </w:rPr>
              <w:t>Environmental Impact Report</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FTZ</w:t>
            </w:r>
          </w:p>
        </w:tc>
        <w:tc>
          <w:tcPr>
            <w:tcW w:w="9620" w:type="dxa"/>
            <w:vAlign w:val="bottom"/>
          </w:tcPr>
          <w:p>
            <w:pPr>
              <w:ind w:left="720"/>
              <w:spacing w:after="0"/>
              <w:rPr>
                <w:sz w:val="20"/>
                <w:szCs w:val="20"/>
                <w:color w:val="auto"/>
              </w:rPr>
            </w:pPr>
            <w:r>
              <w:rPr>
                <w:rFonts w:ascii="Arial" w:cs="Arial" w:eastAsia="Arial" w:hAnsi="Arial"/>
                <w:sz w:val="18"/>
                <w:szCs w:val="18"/>
                <w:color w:val="auto"/>
              </w:rPr>
              <w:t>Foreign Trade Zone</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GAAP</w:t>
            </w:r>
          </w:p>
        </w:tc>
        <w:tc>
          <w:tcPr>
            <w:tcW w:w="9620" w:type="dxa"/>
            <w:vAlign w:val="bottom"/>
          </w:tcPr>
          <w:p>
            <w:pPr>
              <w:ind w:left="720"/>
              <w:spacing w:after="0"/>
              <w:rPr>
                <w:sz w:val="20"/>
                <w:szCs w:val="20"/>
                <w:color w:val="auto"/>
              </w:rPr>
            </w:pPr>
            <w:r>
              <w:rPr>
                <w:rFonts w:ascii="Arial" w:cs="Arial" w:eastAsia="Arial" w:hAnsi="Arial"/>
                <w:sz w:val="18"/>
                <w:szCs w:val="18"/>
                <w:color w:val="auto"/>
              </w:rPr>
              <w:t>Generally Accepted Accounting Principles</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GHG</w:t>
            </w:r>
          </w:p>
        </w:tc>
        <w:tc>
          <w:tcPr>
            <w:tcW w:w="9620" w:type="dxa"/>
            <w:vAlign w:val="bottom"/>
          </w:tcPr>
          <w:p>
            <w:pPr>
              <w:ind w:left="720"/>
              <w:spacing w:after="0"/>
              <w:rPr>
                <w:sz w:val="20"/>
                <w:szCs w:val="20"/>
                <w:color w:val="auto"/>
              </w:rPr>
            </w:pPr>
            <w:r>
              <w:rPr>
                <w:rFonts w:ascii="Arial" w:cs="Arial" w:eastAsia="Arial" w:hAnsi="Arial"/>
                <w:sz w:val="18"/>
                <w:szCs w:val="18"/>
                <w:color w:val="auto"/>
              </w:rPr>
              <w:t>Green House Gas</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LIBOR</w:t>
            </w:r>
          </w:p>
        </w:tc>
        <w:tc>
          <w:tcPr>
            <w:tcW w:w="9620" w:type="dxa"/>
            <w:vAlign w:val="bottom"/>
          </w:tcPr>
          <w:p>
            <w:pPr>
              <w:ind w:left="72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MV</w:t>
            </w:r>
          </w:p>
        </w:tc>
        <w:tc>
          <w:tcPr>
            <w:tcW w:w="9620" w:type="dxa"/>
            <w:vAlign w:val="bottom"/>
          </w:tcPr>
          <w:p>
            <w:pPr>
              <w:ind w:left="720"/>
              <w:spacing w:after="0"/>
              <w:rPr>
                <w:sz w:val="20"/>
                <w:szCs w:val="20"/>
                <w:color w:val="auto"/>
              </w:rPr>
            </w:pPr>
            <w:r>
              <w:rPr>
                <w:rFonts w:ascii="Arial" w:cs="Arial" w:eastAsia="Arial" w:hAnsi="Arial"/>
                <w:sz w:val="18"/>
                <w:szCs w:val="18"/>
                <w:color w:val="auto"/>
              </w:rPr>
              <w:t>Mountain Village at Tejon Ranch</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NOI</w:t>
            </w:r>
          </w:p>
        </w:tc>
        <w:tc>
          <w:tcPr>
            <w:tcW w:w="9620" w:type="dxa"/>
            <w:vAlign w:val="bottom"/>
          </w:tcPr>
          <w:p>
            <w:pPr>
              <w:ind w:left="720"/>
              <w:spacing w:after="0"/>
              <w:rPr>
                <w:sz w:val="20"/>
                <w:szCs w:val="20"/>
                <w:color w:val="auto"/>
              </w:rPr>
            </w:pPr>
            <w:r>
              <w:rPr>
                <w:rFonts w:ascii="Arial" w:cs="Arial" w:eastAsia="Arial" w:hAnsi="Arial"/>
                <w:sz w:val="18"/>
                <w:szCs w:val="18"/>
                <w:color w:val="auto"/>
              </w:rPr>
              <w:t>Net Operating Income</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PEF</w:t>
            </w:r>
          </w:p>
        </w:tc>
        <w:tc>
          <w:tcPr>
            <w:tcW w:w="9620" w:type="dxa"/>
            <w:vAlign w:val="bottom"/>
          </w:tcPr>
          <w:p>
            <w:pPr>
              <w:ind w:left="720"/>
              <w:spacing w:after="0"/>
              <w:rPr>
                <w:sz w:val="20"/>
                <w:szCs w:val="20"/>
                <w:color w:val="auto"/>
              </w:rPr>
            </w:pPr>
            <w:r>
              <w:rPr>
                <w:rFonts w:ascii="Arial" w:cs="Arial" w:eastAsia="Arial" w:hAnsi="Arial"/>
                <w:sz w:val="18"/>
                <w:szCs w:val="18"/>
                <w:color w:val="auto"/>
              </w:rPr>
              <w:t>Pastoria Energy Facility, LLC</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RWA</w:t>
            </w:r>
          </w:p>
        </w:tc>
        <w:tc>
          <w:tcPr>
            <w:tcW w:w="9620" w:type="dxa"/>
            <w:vAlign w:val="bottom"/>
          </w:tcPr>
          <w:p>
            <w:pPr>
              <w:ind w:left="720"/>
              <w:spacing w:after="0"/>
              <w:rPr>
                <w:sz w:val="20"/>
                <w:szCs w:val="20"/>
                <w:color w:val="auto"/>
              </w:rPr>
            </w:pPr>
            <w:r>
              <w:rPr>
                <w:rFonts w:ascii="Arial" w:cs="Arial" w:eastAsia="Arial" w:hAnsi="Arial"/>
                <w:sz w:val="18"/>
                <w:szCs w:val="18"/>
                <w:color w:val="auto"/>
              </w:rPr>
              <w:t>Tejon Ranch Conservation and Land Use Agreement</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SEC</w:t>
            </w:r>
          </w:p>
        </w:tc>
        <w:tc>
          <w:tcPr>
            <w:tcW w:w="9620" w:type="dxa"/>
            <w:vAlign w:val="bottom"/>
          </w:tcPr>
          <w:p>
            <w:pPr>
              <w:ind w:left="720"/>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SOFR</w:t>
            </w:r>
          </w:p>
        </w:tc>
        <w:tc>
          <w:tcPr>
            <w:tcW w:w="9620" w:type="dxa"/>
            <w:vAlign w:val="bottom"/>
          </w:tcPr>
          <w:p>
            <w:pPr>
              <w:ind w:left="72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SWP</w:t>
            </w:r>
          </w:p>
        </w:tc>
        <w:tc>
          <w:tcPr>
            <w:tcW w:w="9620" w:type="dxa"/>
            <w:vAlign w:val="bottom"/>
          </w:tcPr>
          <w:p>
            <w:pPr>
              <w:ind w:left="720"/>
              <w:spacing w:after="0"/>
              <w:rPr>
                <w:sz w:val="20"/>
                <w:szCs w:val="20"/>
                <w:color w:val="auto"/>
              </w:rPr>
            </w:pPr>
            <w:r>
              <w:rPr>
                <w:rFonts w:ascii="Arial" w:cs="Arial" w:eastAsia="Arial" w:hAnsi="Arial"/>
                <w:sz w:val="18"/>
                <w:szCs w:val="18"/>
                <w:color w:val="auto"/>
              </w:rPr>
              <w:t>State Water Project</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TCWD</w:t>
            </w:r>
          </w:p>
        </w:tc>
        <w:tc>
          <w:tcPr>
            <w:tcW w:w="9620" w:type="dxa"/>
            <w:vAlign w:val="bottom"/>
          </w:tcPr>
          <w:p>
            <w:pPr>
              <w:ind w:left="720"/>
              <w:spacing w:after="0"/>
              <w:rPr>
                <w:sz w:val="20"/>
                <w:szCs w:val="20"/>
                <w:color w:val="auto"/>
              </w:rPr>
            </w:pPr>
            <w:r>
              <w:rPr>
                <w:rFonts w:ascii="Arial" w:cs="Arial" w:eastAsia="Arial" w:hAnsi="Arial"/>
                <w:sz w:val="18"/>
                <w:szCs w:val="18"/>
                <w:color w:val="auto"/>
              </w:rPr>
              <w:t>Tejon-Castac Water District</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TRCC</w:t>
            </w:r>
          </w:p>
        </w:tc>
        <w:tc>
          <w:tcPr>
            <w:tcW w:w="9620" w:type="dxa"/>
            <w:vAlign w:val="bottom"/>
          </w:tcPr>
          <w:p>
            <w:pPr>
              <w:ind w:left="720"/>
              <w:spacing w:after="0"/>
              <w:rPr>
                <w:sz w:val="20"/>
                <w:szCs w:val="20"/>
                <w:color w:val="auto"/>
              </w:rPr>
            </w:pPr>
            <w:r>
              <w:rPr>
                <w:rFonts w:ascii="Arial" w:cs="Arial" w:eastAsia="Arial" w:hAnsi="Arial"/>
                <w:sz w:val="18"/>
                <w:szCs w:val="18"/>
                <w:color w:val="auto"/>
              </w:rPr>
              <w:t>Tejon Ranch Commerce Center</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TRPFFA</w:t>
            </w:r>
          </w:p>
        </w:tc>
        <w:tc>
          <w:tcPr>
            <w:tcW w:w="9620" w:type="dxa"/>
            <w:vAlign w:val="bottom"/>
          </w:tcPr>
          <w:p>
            <w:pPr>
              <w:ind w:left="720"/>
              <w:spacing w:after="0"/>
              <w:rPr>
                <w:sz w:val="20"/>
                <w:szCs w:val="20"/>
                <w:color w:val="auto"/>
              </w:rPr>
            </w:pPr>
            <w:r>
              <w:rPr>
                <w:rFonts w:ascii="Arial" w:cs="Arial" w:eastAsia="Arial" w:hAnsi="Arial"/>
                <w:sz w:val="18"/>
                <w:szCs w:val="18"/>
                <w:color w:val="auto"/>
              </w:rPr>
              <w:t>Tejon Ranch Public Facilities Financing Authority</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WRMWSD</w:t>
            </w:r>
          </w:p>
        </w:tc>
        <w:tc>
          <w:tcPr>
            <w:tcW w:w="9620" w:type="dxa"/>
            <w:vAlign w:val="bottom"/>
          </w:tcPr>
          <w:p>
            <w:pPr>
              <w:ind w:left="720"/>
              <w:spacing w:after="0"/>
              <w:rPr>
                <w:sz w:val="20"/>
                <w:szCs w:val="20"/>
                <w:color w:val="auto"/>
              </w:rPr>
            </w:pPr>
            <w:r>
              <w:rPr>
                <w:rFonts w:ascii="Arial" w:cs="Arial" w:eastAsia="Arial" w:hAnsi="Arial"/>
                <w:sz w:val="18"/>
                <w:szCs w:val="18"/>
                <w:color w:val="auto"/>
              </w:rPr>
              <w:t>Wheeler Ridge Maricopa Water Storage District</w:t>
            </w:r>
          </w:p>
        </w:tc>
      </w:tr>
      <w:tr>
        <w:trPr>
          <w:trHeight w:val="864"/>
        </w:trPr>
        <w:tc>
          <w:tcPr>
            <w:tcW w:w="1620" w:type="dxa"/>
            <w:vAlign w:val="bottom"/>
          </w:tcPr>
          <w:p>
            <w:pPr>
              <w:spacing w:after="0"/>
              <w:rPr>
                <w:sz w:val="24"/>
                <w:szCs w:val="24"/>
                <w:color w:val="auto"/>
              </w:rPr>
            </w:pPr>
          </w:p>
        </w:tc>
        <w:tc>
          <w:tcPr>
            <w:tcW w:w="9620" w:type="dxa"/>
            <w:vAlign w:val="bottom"/>
          </w:tcPr>
          <w:p>
            <w:pPr>
              <w:ind w:left="3960"/>
              <w:spacing w:after="0"/>
              <w:rPr>
                <w:sz w:val="20"/>
                <w:szCs w:val="20"/>
                <w:color w:val="auto"/>
              </w:rPr>
            </w:pPr>
            <w:r>
              <w:rPr>
                <w:rFonts w:ascii="Arial" w:cs="Arial" w:eastAsia="Arial" w:hAnsi="Arial"/>
                <w:sz w:val="18"/>
                <w:szCs w:val="18"/>
                <w:color w:val="auto"/>
              </w:rPr>
              <w:t>3</w:t>
            </w:r>
          </w:p>
        </w:tc>
      </w:tr>
      <w:tr>
        <w:trPr>
          <w:trHeight w:val="115"/>
        </w:trPr>
        <w:tc>
          <w:tcPr>
            <w:tcW w:w="1620" w:type="dxa"/>
            <w:vAlign w:val="bottom"/>
            <w:tcBorders>
              <w:bottom w:val="single" w:sz="8" w:color="9A9A9A"/>
            </w:tcBorders>
          </w:tcPr>
          <w:p>
            <w:pPr>
              <w:spacing w:after="0"/>
              <w:rPr>
                <w:sz w:val="10"/>
                <w:szCs w:val="10"/>
                <w:color w:val="auto"/>
              </w:rPr>
            </w:pPr>
          </w:p>
        </w:tc>
        <w:tc>
          <w:tcPr>
            <w:tcW w:w="9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320" w:type="dxa"/>
            <w:vAlign w:val="bottom"/>
            <w:gridSpan w:val="6"/>
          </w:tcPr>
          <w:p>
            <w:pPr>
              <w:ind w:left="30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Pr>
          <w:p>
            <w:pPr>
              <w:spacing w:after="0"/>
              <w:rPr>
                <w:sz w:val="20"/>
                <w:szCs w:val="20"/>
                <w:color w:val="auto"/>
              </w:rPr>
            </w:pPr>
          </w:p>
        </w:tc>
        <w:tc>
          <w:tcPr>
            <w:tcW w:w="3020" w:type="dxa"/>
            <w:vAlign w:val="bottom"/>
            <w:gridSpan w:val="4"/>
          </w:tcPr>
          <w:p>
            <w:pPr>
              <w:jc w:val="right"/>
              <w:ind w:right="270"/>
              <w:spacing w:after="0"/>
              <w:rPr>
                <w:sz w:val="20"/>
                <w:szCs w:val="20"/>
                <w:color w:val="auto"/>
              </w:rPr>
            </w:pPr>
            <w:r>
              <w:rPr>
                <w:rFonts w:ascii="Arial" w:cs="Arial" w:eastAsia="Arial" w:hAnsi="Arial"/>
                <w:sz w:val="18"/>
                <w:szCs w:val="18"/>
                <w:color w:val="auto"/>
                <w:w w:val="93"/>
              </w:rPr>
              <w:t>Nine Months Ended September 30,</w:t>
            </w:r>
          </w:p>
        </w:tc>
        <w:tc>
          <w:tcPr>
            <w:tcW w:w="0" w:type="dxa"/>
            <w:vAlign w:val="bottom"/>
          </w:tcPr>
          <w:p>
            <w:pPr>
              <w:spacing w:after="0"/>
              <w:rPr>
                <w:sz w:val="1"/>
                <w:szCs w:val="1"/>
                <w:color w:val="auto"/>
              </w:rPr>
            </w:pPr>
          </w:p>
        </w:tc>
      </w:tr>
      <w:tr>
        <w:trPr>
          <w:trHeight w:val="223"/>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 commercial/industrial</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32,163</w:t>
            </w: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Mineral resources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19,238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Farming</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Ranch operations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61,764</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 commercial/industrial</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Real estate - resort/residential</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Mineral resources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Farming</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Ranch operations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expenses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Investment income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(loss) income, net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income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155"/>
        </w:trPr>
        <w:tc>
          <w:tcPr>
            <w:tcW w:w="4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from operations before equity in earnings of</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of unconsolidated joint ventures, net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Net (loss) income per share attributable to common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60" w:type="dxa"/>
            <w:vAlign w:val="bottom"/>
            <w:vMerge w:val="continue"/>
          </w:tcPr>
          <w:p>
            <w:pPr>
              <w:spacing w:after="0"/>
              <w:rPr>
                <w:sz w:val="10"/>
                <w:szCs w:val="10"/>
                <w:color w:val="auto"/>
              </w:rPr>
            </w:pPr>
          </w:p>
        </w:tc>
        <w:tc>
          <w:tcPr>
            <w:tcW w:w="980" w:type="dxa"/>
            <w:vAlign w:val="bottom"/>
            <w:vMerge w:val="restart"/>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0"/>
                <w:szCs w:val="1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1"/>
        </w:trPr>
        <w:tc>
          <w:tcPr>
            <w:tcW w:w="4660" w:type="dxa"/>
            <w:vAlign w:val="bottom"/>
          </w:tcPr>
          <w:p>
            <w:pPr>
              <w:ind w:left="20"/>
              <w:spacing w:after="0"/>
              <w:rPr>
                <w:sz w:val="20"/>
                <w:szCs w:val="20"/>
                <w:color w:val="auto"/>
              </w:rPr>
            </w:pPr>
            <w:r>
              <w:rPr>
                <w:rFonts w:ascii="Arial" w:cs="Arial" w:eastAsia="Arial" w:hAnsi="Arial"/>
                <w:sz w:val="18"/>
                <w:szCs w:val="18"/>
                <w:color w:val="auto"/>
              </w:rPr>
              <w:t>stockholders, basic</w:t>
            </w:r>
          </w:p>
        </w:tc>
        <w:tc>
          <w:tcPr>
            <w:tcW w:w="9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income per share attributable to common</w:t>
            </w:r>
          </w:p>
        </w:tc>
        <w:tc>
          <w:tcPr>
            <w:tcW w:w="98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diluted</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left="340" w:right="2320"/>
        <w:spacing w:after="0" w:line="275" w:lineRule="auto"/>
        <w:rPr>
          <w:sz w:val="20"/>
          <w:szCs w:val="20"/>
          <w:color w:val="auto"/>
        </w:rPr>
      </w:pPr>
      <w:r>
        <w:rPr>
          <w:rFonts w:ascii="Arial" w:cs="Arial" w:eastAsia="Arial" w:hAnsi="Arial"/>
          <w:sz w:val="18"/>
          <w:szCs w:val="18"/>
          <w:b w:val="1"/>
          <w:bCs w:val="1"/>
          <w:color w:val="auto"/>
        </w:rPr>
        <w:t xml:space="preserve">TEJON RANCH CO. AND SUBSIDIARIES UNAUDITED CONSOLIDATED STATEMENTS OF COMPREHENSIVE INCOME </w:t>
      </w:r>
      <w:r>
        <w:rPr>
          <w:rFonts w:ascii="Arial" w:cs="Arial" w:eastAsia="Arial" w:hAnsi="Arial"/>
          <w:sz w:val="18"/>
          <w:szCs w:val="18"/>
          <w:color w:val="auto"/>
        </w:rPr>
        <w:t>(In thousands)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3400" w:type="dxa"/>
            <w:vAlign w:val="bottom"/>
            <w:gridSpan w:val="6"/>
          </w:tcPr>
          <w:p>
            <w:pPr>
              <w:ind w:left="3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080" w:type="dxa"/>
            <w:vAlign w:val="bottom"/>
            <w:gridSpan w:val="4"/>
          </w:tcPr>
          <w:p>
            <w:pPr>
              <w:jc w:val="right"/>
              <w:ind w:right="310"/>
              <w:spacing w:after="0"/>
              <w:rPr>
                <w:sz w:val="20"/>
                <w:szCs w:val="20"/>
                <w:color w:val="auto"/>
              </w:rPr>
            </w:pPr>
            <w:r>
              <w:rPr>
                <w:rFonts w:ascii="Arial" w:cs="Arial" w:eastAsia="Arial" w:hAnsi="Arial"/>
                <w:sz w:val="18"/>
                <w:szCs w:val="18"/>
                <w:color w:val="auto"/>
                <w:w w:val="94"/>
              </w:rPr>
              <w:t>Nine Months Ended September 30,</w:t>
            </w:r>
          </w:p>
        </w:tc>
      </w:tr>
      <w:tr>
        <w:trPr>
          <w:trHeight w:val="223"/>
        </w:trPr>
        <w:tc>
          <w:tcPr>
            <w:tcW w:w="45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Unrealized gain (loss) on available-for-sale securities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4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on interest rate swap</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w:t>
            </w: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before taxes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175"/>
        </w:trPr>
        <w:tc>
          <w:tcPr>
            <w:tcW w:w="4500" w:type="dxa"/>
            <w:vAlign w:val="bottom"/>
          </w:tcPr>
          <w:p>
            <w:pPr>
              <w:ind w:left="680"/>
              <w:spacing w:after="0" w:line="176" w:lineRule="exact"/>
              <w:rPr>
                <w:sz w:val="20"/>
                <w:szCs w:val="20"/>
                <w:color w:val="auto"/>
              </w:rPr>
            </w:pPr>
            <w:r>
              <w:rPr>
                <w:rFonts w:ascii="Arial" w:cs="Arial" w:eastAsia="Arial" w:hAnsi="Arial"/>
                <w:sz w:val="18"/>
                <w:szCs w:val="18"/>
                <w:color w:val="auto"/>
              </w:rPr>
              <w:t>Provision for income taxes related to other</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5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comprehensive income items</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17,813</w:t>
            </w: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Comprehensive (loss) income attributable to non-controlling</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w w:val="92"/>
              </w:rPr>
              <w:t>Comprehensive income attributable to common stockholders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17,812</w:t>
            </w:r>
          </w:p>
        </w:tc>
      </w:tr>
      <w:tr>
        <w:trPr>
          <w:trHeight w:val="21"/>
        </w:trPr>
        <w:tc>
          <w:tcPr>
            <w:tcW w:w="4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September 30, 2023</w:t>
            </w:r>
          </w:p>
        </w:tc>
        <w:tc>
          <w:tcPr>
            <w:tcW w:w="200" w:type="dxa"/>
            <w:vAlign w:val="bottom"/>
          </w:tcPr>
          <w:p>
            <w:pPr>
              <w:spacing w:after="0"/>
              <w:rPr>
                <w:sz w:val="19"/>
                <w:szCs w:val="19"/>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2022</w:t>
            </w:r>
          </w:p>
        </w:tc>
        <w:tc>
          <w:tcPr>
            <w:tcW w:w="0" w:type="dxa"/>
            <w:vAlign w:val="bottom"/>
          </w:tcPr>
          <w:p>
            <w:pPr>
              <w:spacing w:after="0"/>
              <w:rPr>
                <w:sz w:val="1"/>
                <w:szCs w:val="1"/>
                <w:color w:val="auto"/>
              </w:rPr>
            </w:pPr>
          </w:p>
        </w:tc>
      </w:tr>
      <w:tr>
        <w:trPr>
          <w:trHeight w:val="230"/>
        </w:trPr>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39,119</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Marketable securities - available-for-sale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29,456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33,444</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9"/>
        </w:trPr>
        <w:tc>
          <w:tcPr>
            <w:tcW w:w="726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83,045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0" w:type="dxa"/>
            <w:vAlign w:val="bottom"/>
          </w:tcPr>
          <w:p>
            <w:pPr>
              <w:spacing w:after="0"/>
              <w:rPr>
                <w:sz w:val="1"/>
                <w:szCs w:val="1"/>
                <w:color w:val="auto"/>
              </w:rPr>
            </w:pPr>
          </w:p>
        </w:tc>
      </w:tr>
      <w:tr>
        <w:trPr>
          <w:trHeight w:val="175"/>
        </w:trPr>
        <w:tc>
          <w:tcPr>
            <w:tcW w:w="7260" w:type="dxa"/>
            <w:vAlign w:val="bottom"/>
          </w:tcPr>
          <w:p>
            <w:pPr>
              <w:ind w:left="20"/>
              <w:spacing w:after="0" w:line="176" w:lineRule="exact"/>
              <w:rPr>
                <w:sz w:val="20"/>
                <w:szCs w:val="20"/>
                <w:color w:val="auto"/>
              </w:rPr>
            </w:pPr>
            <w:r>
              <w:rPr>
                <w:rFonts w:ascii="Arial" w:cs="Arial" w:eastAsia="Arial" w:hAnsi="Arial"/>
                <w:sz w:val="18"/>
                <w:szCs w:val="18"/>
                <w:color w:val="auto"/>
                <w:w w:val="90"/>
              </w:rPr>
              <w:t>Real estate development (includes $117,518 at September 30, 2023 and $115,221 at December 31,</w:t>
            </w: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2022, attributable to CFL, Note 15)</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330,566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321,293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52,980</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41,891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 water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47,045</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566,791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Accrued liabilities and other</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Long-term deferred gains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11,447</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89,197</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Arial" w:cs="Arial" w:eastAsia="Arial" w:hAnsi="Arial"/>
                <w:sz w:val="18"/>
                <w:szCs w:val="18"/>
                <w:color w:val="auto"/>
              </w:rPr>
              <w:t>Tejon Ranch Co. Stockholders’ 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Common stock, $0.50 par value per share: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Authorized shares - 50,000,000</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Issued and outstanding shares - 26,726,464 at September 30, 2023 and 26,541,553 at December 31,</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345,404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345,344</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105,643</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Tejon Ranch Co. Stockholders’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462,230</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477,594</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566,791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Arial" w:cs="Arial" w:eastAsia="Arial" w:hAnsi="Arial"/>
                <w:sz w:val="18"/>
                <w:szCs w:val="18"/>
                <w:color w:val="auto"/>
              </w:rPr>
              <w:t>Amortization of (discount) premium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earnings of unconsolidated joint ventures,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Arial" w:cs="Arial" w:eastAsia="Arial" w:hAnsi="Arial"/>
                <w:sz w:val="18"/>
                <w:szCs w:val="18"/>
                <w:color w:val="auto"/>
              </w:rPr>
              <w:t>Non-cash retirement plan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Profit from water sales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line="230" w:lineRule="exact"/>
              <w:rPr>
                <w:sz w:val="20"/>
                <w:szCs w:val="20"/>
                <w:color w:val="auto"/>
              </w:rPr>
            </w:pPr>
            <w:r>
              <w:rPr>
                <w:rFonts w:ascii="Arial" w:cs="Arial" w:eastAsia="Arial" w:hAnsi="Arial"/>
                <w:sz w:val="18"/>
                <w:szCs w:val="18"/>
                <w:color w:val="auto"/>
              </w:rPr>
              <w:t>Profit from land sales</w:t>
            </w:r>
            <w:r>
              <w:rPr>
                <w:rFonts w:ascii="Arial" w:cs="Arial" w:eastAsia="Arial" w:hAnsi="Arial"/>
                <w:sz w:val="23"/>
                <w:szCs w:val="23"/>
                <w:color w:val="auto"/>
                <w:vertAlign w:val="superscript"/>
              </w:rPr>
              <w:t>2</w:t>
            </w: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(gain) on sale of property plant and equipment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 compensation expense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Arial" w:cs="Arial" w:eastAsia="Arial" w:hAnsi="Arial"/>
                <w:sz w:val="18"/>
                <w:szCs w:val="18"/>
                <w:color w:val="auto"/>
              </w:rPr>
              <w:t>Excess tax (benefit) loss from stock-based compensation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 fee write-off</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Distribution of earnings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Arial" w:cs="Arial" w:eastAsia="Arial" w:hAnsi="Arial"/>
                <w:sz w:val="18"/>
                <w:szCs w:val="18"/>
                <w:color w:val="auto"/>
              </w:rPr>
              <w:t>Receivables, inventories, prepaids and other assets,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Maturities and sales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27,961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invested in marketable securities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Real estate and equipment expenditures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(17,687)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unconsolidated joint ventures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Distribution of equity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Proceeds from water sales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Investments in water assets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Net proceeds from land sales</w:t>
            </w:r>
            <w:r>
              <w:rPr>
                <w:rFonts w:ascii="Arial" w:cs="Arial" w:eastAsia="Arial" w:hAnsi="Arial"/>
                <w:sz w:val="23"/>
                <w:szCs w:val="23"/>
                <w:color w:val="auto"/>
                <w:vertAlign w:val="superscript"/>
              </w:rPr>
              <w:t>2</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Borrowings of long-term debt</w:t>
            </w: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49,080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(51,272)</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106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Interest rate swap settlement</w:t>
            </w:r>
            <w:r>
              <w:rPr>
                <w:rFonts w:ascii="Arial" w:cs="Arial" w:eastAsia="Arial" w:hAnsi="Arial"/>
                <w:sz w:val="23"/>
                <w:szCs w:val="23"/>
                <w:color w:val="auto"/>
                <w:vertAlign w:val="superscript"/>
              </w:rPr>
              <w:t>3</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Taxes on vested stock grants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37,398</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7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43,149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30,308</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(Shown in Other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31,511</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7"/>
        </w:trPr>
        <w:tc>
          <w:tcPr>
            <w:tcW w:w="7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Accrued capital expenditures included in current liabilities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2"/>
        </w:trPr>
        <w:tc>
          <w:tcPr>
            <w:tcW w:w="77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Accrued long-term water assets included in current liabilities</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20" w:right="80"/>
        <w:spacing w:after="0" w:line="246"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In determining the classification of cash inflows and outflows related to water asset activity, the Company’s practices are supported by ASC 230-10-45-22, which provides that “Certain cash receipts and payments have aspects of more than one class of cash flows…. If so, the appropriate classification shall depend on the activity that is likely</w:t>
      </w:r>
    </w:p>
    <w:p>
      <w:pPr>
        <w:spacing w:after="0" w:line="1" w:lineRule="exact"/>
        <w:rPr>
          <w:sz w:val="20"/>
          <w:szCs w:val="20"/>
          <w:color w:val="auto"/>
        </w:rPr>
      </w:pPr>
    </w:p>
    <w:p>
      <w:pPr>
        <w:ind w:left="20" w:right="40"/>
        <w:spacing w:after="0" w:line="238" w:lineRule="auto"/>
        <w:rPr>
          <w:sz w:val="20"/>
          <w:szCs w:val="20"/>
          <w:color w:val="auto"/>
        </w:rPr>
      </w:pPr>
      <w:r>
        <w:rPr>
          <w:rFonts w:ascii="Arial" w:cs="Arial" w:eastAsia="Arial" w:hAnsi="Arial"/>
          <w:sz w:val="16"/>
          <w:szCs w:val="16"/>
          <w:color w:val="auto"/>
        </w:rPr>
        <w:t>to be the predominant source of cash flows for the item.” Also, at the 2006 American Institute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28" w:lineRule="exact"/>
        <w:rPr>
          <w:sz w:val="20"/>
          <w:szCs w:val="20"/>
          <w:color w:val="auto"/>
        </w:rPr>
      </w:pPr>
    </w:p>
    <w:p>
      <w:pPr>
        <w:ind w:left="20" w:right="20"/>
        <w:spacing w:after="0" w:line="266" w:lineRule="auto"/>
        <w:rPr>
          <w:sz w:val="20"/>
          <w:szCs w:val="20"/>
          <w:color w:val="auto"/>
        </w:rPr>
      </w:pPr>
      <w:r>
        <w:rPr>
          <w:rFonts w:ascii="Arial" w:cs="Arial" w:eastAsia="Arial" w:hAnsi="Arial"/>
          <w:sz w:val="15"/>
          <w:szCs w:val="15"/>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 million in 2023, this cash inflow is appropriately classified in the Company’s investing activities. The profit of $0.5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5" w:lineRule="exact"/>
        <w:rPr>
          <w:sz w:val="20"/>
          <w:szCs w:val="20"/>
          <w:color w:val="auto"/>
        </w:rPr>
      </w:pPr>
    </w:p>
    <w:p>
      <w:pPr>
        <w:ind w:left="20" w:right="120"/>
        <w:spacing w:after="0" w:line="246"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In determining the classification of cash inflows and outflows related to land development costs, the Company’s practices are supported by ASC 230-10-45-22, which provides that “Certain cash receipts and payments have aspects of more than one class of cash flows…. If so, the appropriate classification shall depend on the activity that</w:t>
      </w:r>
    </w:p>
    <w:p>
      <w:pPr>
        <w:spacing w:after="0" w:line="1" w:lineRule="exact"/>
        <w:rPr>
          <w:sz w:val="20"/>
          <w:szCs w:val="20"/>
          <w:color w:val="auto"/>
        </w:rPr>
      </w:pPr>
    </w:p>
    <w:p>
      <w:pPr>
        <w:ind w:left="20" w:right="100"/>
        <w:spacing w:after="0" w:line="238" w:lineRule="auto"/>
        <w:rPr>
          <w:sz w:val="20"/>
          <w:szCs w:val="20"/>
          <w:color w:val="auto"/>
        </w:rPr>
      </w:pPr>
      <w:r>
        <w:rPr>
          <w:rFonts w:ascii="Arial" w:cs="Arial" w:eastAsia="Arial" w:hAnsi="Arial"/>
          <w:sz w:val="16"/>
          <w:szCs w:val="16"/>
          <w:color w:val="auto"/>
        </w:rPr>
        <w:t>is likely to be the predominant source of cash flows for the item.” Also, at the 2006 American Institute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28" w:lineRule="exact"/>
        <w:rPr>
          <w:sz w:val="20"/>
          <w:szCs w:val="20"/>
          <w:color w:val="auto"/>
        </w:rPr>
      </w:pPr>
    </w:p>
    <w:p>
      <w:pPr>
        <w:ind w:left="20" w:right="80"/>
        <w:spacing w:after="0"/>
        <w:rPr>
          <w:sz w:val="20"/>
          <w:szCs w:val="20"/>
          <w:color w:val="auto"/>
        </w:rPr>
      </w:pPr>
      <w:r>
        <w:rPr>
          <w:rFonts w:ascii="Arial" w:cs="Arial" w:eastAsia="Arial" w:hAnsi="Arial"/>
          <w:sz w:val="16"/>
          <w:szCs w:val="16"/>
          <w:color w:val="auto"/>
        </w:rPr>
        <w:t>Given the nature of our land development costs and the aforementioned authoritative guidance, the Company estimates the appropriate classification of land development costs based on the timing of the sale of land. Land development costs incurred during prior periods that were classified as investing were sold for $26.7 million in gross proceeds in 2022, this cash inflow is appropriately classified in the Company’s investing activities. The profit of $18.4 million related to land development costs incurred in prior periods is appropriately being deducted from operating activities for the first quarter of 2022. The Company has applied, and will continue to apply, this methodology to land sale transactions that meet this fact pattern.</w:t>
      </w:r>
    </w:p>
    <w:p>
      <w:pPr>
        <w:spacing w:after="0" w:line="39" w:lineRule="exact"/>
        <w:rPr>
          <w:sz w:val="20"/>
          <w:szCs w:val="20"/>
          <w:color w:val="auto"/>
        </w:rPr>
      </w:pPr>
    </w:p>
    <w:p>
      <w:pPr>
        <w:jc w:val="both"/>
        <w:ind w:left="20" w:right="60"/>
        <w:spacing w:after="0" w:line="222" w:lineRule="auto"/>
        <w:rPr>
          <w:sz w:val="20"/>
          <w:szCs w:val="20"/>
          <w:color w:val="auto"/>
        </w:rPr>
      </w:pPr>
      <w:r>
        <w:rPr>
          <w:rFonts w:ascii="Arial" w:cs="Arial" w:eastAsia="Arial" w:hAnsi="Arial"/>
          <w:sz w:val="20"/>
          <w:szCs w:val="20"/>
          <w:color w:val="auto"/>
          <w:vertAlign w:val="superscript"/>
        </w:rPr>
        <w:t>3</w:t>
      </w:r>
      <w:r>
        <w:rPr>
          <w:rFonts w:ascii="Arial" w:cs="Arial" w:eastAsia="Arial" w:hAnsi="Arial"/>
          <w:sz w:val="15"/>
          <w:szCs w:val="15"/>
          <w:color w:val="auto"/>
        </w:rPr>
        <w:t>The Company had an interest rate swap agreement with Wells Fargo Bank, N.A. to reduce its exposure to fluctuations in the floating interest rate tied to the London Inter-Bank Offered Rate, or LIBOR, under a term note with Wells Fargo. The hedging relationship qualified as an effective cash flow hedge at the initial assessment, based upon a regression analysis, and is recorded at fair value. On June 27, 2022, the Company terminated the interest rate swap agreement with Wells Fargo and received a $1,123,200 cash termination fee from Wells Fargo. See Interest rate swap liability (Note 10) for further discussion.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 OF CHANGES IN EQUITY AND NON-CONTROLLING INTERESTS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shares outstanding)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3"/>
              </w:rPr>
              <w:t>Other</w:t>
            </w:r>
          </w:p>
        </w:tc>
        <w:tc>
          <w:tcPr>
            <w:tcW w:w="9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7"/>
              </w:rPr>
              <w:t>Stock Shares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1"/>
              </w:rPr>
              <w:t>Paid-In</w:t>
            </w:r>
          </w:p>
        </w:tc>
        <w:tc>
          <w:tcPr>
            <w:tcW w:w="130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auto"/>
                <w:w w:val="90"/>
              </w:rPr>
              <w:t>Comprehensive</w:t>
            </w:r>
          </w:p>
        </w:tc>
        <w:tc>
          <w:tcPr>
            <w:tcW w:w="900" w:type="dxa"/>
            <w:vAlign w:val="bottom"/>
            <w:gridSpan w:val="3"/>
            <w:vMerge w:val="continue"/>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1"/>
              </w:rPr>
              <w:t>Stockholders'</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5"/>
              </w:rPr>
              <w:t>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1"/>
                <w:szCs w:val="21"/>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1"/>
                <w:szCs w:val="2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(Loss) Income</w:t>
            </w: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14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Interest</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w w:val="94"/>
              </w:rPr>
              <w:t>Total Equity</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26,718,773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344,434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107,684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479,077</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7,691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175"/>
        </w:trPr>
        <w:tc>
          <w:tcPr>
            <w:tcW w:w="2660" w:type="dxa"/>
            <w:vAlign w:val="bottom"/>
          </w:tcPr>
          <w:p>
            <w:pPr>
              <w:spacing w:after="0" w:line="176" w:lineRule="exact"/>
              <w:rPr>
                <w:sz w:val="20"/>
                <w:szCs w:val="20"/>
                <w:color w:val="auto"/>
              </w:rPr>
            </w:pPr>
            <w:r>
              <w:rPr>
                <w:rFonts w:ascii="Arial" w:cs="Arial" w:eastAsia="Arial" w:hAnsi="Arial"/>
                <w:sz w:val="18"/>
                <w:szCs w:val="18"/>
                <w:color w:val="auto"/>
                <w:w w:val="99"/>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26,726,464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107,343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480,990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26,484,947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346,137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464,309</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6,823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Arial" w:cs="Arial" w:eastAsia="Arial" w:hAnsi="Arial"/>
                <w:sz w:val="18"/>
                <w:szCs w:val="18"/>
                <w:color w:val="auto"/>
                <w:w w:val="99"/>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346,095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103,659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475,529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3"/>
              </w:rPr>
              <w:t>Other</w:t>
            </w:r>
          </w:p>
        </w:tc>
        <w:tc>
          <w:tcPr>
            <w:tcW w:w="9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7"/>
              </w:rPr>
              <w:t>Stock Shares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1"/>
              </w:rPr>
              <w:t>Paid-In</w:t>
            </w:r>
          </w:p>
        </w:tc>
        <w:tc>
          <w:tcPr>
            <w:tcW w:w="130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auto"/>
                <w:w w:val="90"/>
              </w:rPr>
              <w:t>Comprehensive</w:t>
            </w:r>
          </w:p>
        </w:tc>
        <w:tc>
          <w:tcPr>
            <w:tcW w:w="900" w:type="dxa"/>
            <w:vAlign w:val="bottom"/>
            <w:gridSpan w:val="3"/>
            <w:vMerge w:val="continue"/>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1"/>
              </w:rPr>
              <w:t>Stockholders'</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5"/>
              </w:rPr>
              <w:t>controlling</w:t>
            </w: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Total Equity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(Loss) Income</w:t>
            </w: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14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Interest</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26,541,553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345,344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105,643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477,594</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363,756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188"/>
        </w:trPr>
        <w:tc>
          <w:tcPr>
            <w:tcW w:w="2660" w:type="dxa"/>
            <w:vAlign w:val="bottom"/>
          </w:tcPr>
          <w:p>
            <w:pPr>
              <w:spacing w:after="0" w:line="189" w:lineRule="exact"/>
              <w:rPr>
                <w:sz w:val="20"/>
                <w:szCs w:val="20"/>
                <w:color w:val="auto"/>
              </w:rPr>
            </w:pPr>
            <w:r>
              <w:rPr>
                <w:rFonts w:ascii="Arial" w:cs="Arial" w:eastAsia="Arial" w:hAnsi="Arial"/>
                <w:sz w:val="18"/>
                <w:szCs w:val="18"/>
                <w:color w:val="auto"/>
                <w:w w:val="99"/>
              </w:rPr>
              <w:t>Shares withheld for taxes and tax</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(178,845)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26,726,464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107,343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480,990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26,400,921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344,936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456,511</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154,709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188"/>
        </w:trPr>
        <w:tc>
          <w:tcPr>
            <w:tcW w:w="2660" w:type="dxa"/>
            <w:vAlign w:val="bottom"/>
          </w:tcPr>
          <w:p>
            <w:pPr>
              <w:spacing w:after="0" w:line="189" w:lineRule="exact"/>
              <w:rPr>
                <w:sz w:val="20"/>
                <w:szCs w:val="20"/>
                <w:color w:val="auto"/>
              </w:rPr>
            </w:pPr>
            <w:r>
              <w:rPr>
                <w:rFonts w:ascii="Arial" w:cs="Arial" w:eastAsia="Arial" w:hAnsi="Arial"/>
                <w:sz w:val="18"/>
                <w:szCs w:val="18"/>
                <w:color w:val="auto"/>
                <w:w w:val="99"/>
              </w:rPr>
              <w:t>Shares withheld for taxes and tax</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(63,860)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346,095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103,659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475,529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25"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52" w:lineRule="exact"/>
        <w:rPr>
          <w:sz w:val="20"/>
          <w:szCs w:val="20"/>
          <w:color w:val="auto"/>
        </w:rPr>
      </w:pPr>
    </w:p>
    <w:p>
      <w:pPr>
        <w:jc w:val="both"/>
        <w:ind w:right="640"/>
        <w:spacing w:after="0" w:line="286" w:lineRule="auto"/>
        <w:rPr>
          <w:sz w:val="20"/>
          <w:szCs w:val="20"/>
          <w:color w:val="auto"/>
        </w:rPr>
      </w:pPr>
      <w:r>
        <w:rPr>
          <w:rFonts w:ascii="Arial" w:cs="Arial" w:eastAsia="Arial" w:hAnsi="Arial"/>
          <w:sz w:val="17"/>
          <w:szCs w:val="17"/>
          <w:color w:val="auto"/>
        </w:rPr>
        <w:t>The periods ended September 30, 2023 and 2022 include the consolidation of CFL’s statement of operations within the resort/residential real estate development segment, statements of changes in equity and non-controlling interests, and statements of cash flows. The Company’s September 30, 2023 and December 31, 2022 balance sheets are presented on a consolidated basis, including the consolidation of CFL.</w:t>
      </w:r>
    </w:p>
    <w:p>
      <w:pPr>
        <w:spacing w:after="0" w:line="44"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further information and a summary of significant accounting policies, refer to the Consolidated Financial Statements and notes thereto included in the Company’s Annual Report on Form 10-K for the year ended December 31,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financial instruments are carried on the consolidated balance sheet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notes payable also approximates their carrying value, as the interest rates are primarily variable and approximate prevailing market interest rates for similar debt arrangements.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Restricted cash is included in Prepaid expenses and other current assets within the Consolidated Balance Sheets and primarily relates to funds held in escrow. The Company had $500,000 of restricted cash as of September 30,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 Joint Venture Formations</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August 2023, the Financial Accounting Standards Board, or FASB, issued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amendments are effective prospectively for all joint venture formations with a formation date on or after January 1, 2025. This pronouncement is not expected to have a material effect on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2.</w:t>
        <w:tab/>
        <w:t>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9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Basic net income or loss per share attributable to common stockholders is based upon the weighted-average number of shares of common stock outstanding during the year. Diluted net income or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3480" w:type="dxa"/>
            <w:vAlign w:val="bottom"/>
            <w:gridSpan w:val="4"/>
          </w:tcPr>
          <w:p>
            <w:pPr>
              <w:ind w:left="380"/>
              <w:spacing w:after="0"/>
              <w:rPr>
                <w:sz w:val="20"/>
                <w:szCs w:val="20"/>
                <w:color w:val="auto"/>
              </w:rPr>
            </w:pPr>
            <w:r>
              <w:rPr>
                <w:rFonts w:ascii="Arial" w:cs="Arial" w:eastAsia="Arial" w:hAnsi="Arial"/>
                <w:sz w:val="18"/>
                <w:szCs w:val="18"/>
                <w:color w:val="auto"/>
              </w:rPr>
              <w:t>Three Months Ended September 30,</w:t>
            </w:r>
          </w:p>
        </w:tc>
        <w:tc>
          <w:tcPr>
            <w:tcW w:w="3380" w:type="dxa"/>
            <w:vAlign w:val="bottom"/>
            <w:gridSpan w:val="3"/>
          </w:tcPr>
          <w:p>
            <w:pPr>
              <w:jc w:val="right"/>
              <w:ind w:right="3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3920" w:type="dxa"/>
            <w:vAlign w:val="bottom"/>
            <w:vMerge w:val="restart"/>
          </w:tcPr>
          <w:p>
            <w:pPr>
              <w:spacing w:after="0"/>
              <w:rPr>
                <w:sz w:val="20"/>
                <w:szCs w:val="20"/>
                <w:color w:val="auto"/>
              </w:rPr>
            </w:pPr>
            <w:r>
              <w:rPr>
                <w:rFonts w:ascii="Arial" w:cs="Arial" w:eastAsia="Arial" w:hAnsi="Arial"/>
                <w:sz w:val="18"/>
                <w:szCs w:val="18"/>
                <w:color w:val="auto"/>
                <w:w w:val="98"/>
              </w:rPr>
              <w:t>Weighted-average number of shares outstanding:</w:t>
            </w: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26,725,628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26,491,251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26,695,714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26,468,099</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76,668</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164,364</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shares outstanding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26,798,063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26,538,758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26,772,382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26,632,463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860" w:type="dxa"/>
            <w:vAlign w:val="bottom"/>
            <w:vMerge w:val="restart"/>
          </w:tcPr>
          <w:p>
            <w:pPr>
              <w:jc w:val="center"/>
              <w:ind w:left="610"/>
              <w:spacing w:after="0"/>
              <w:rPr>
                <w:sz w:val="20"/>
                <w:szCs w:val="20"/>
                <w:color w:val="auto"/>
              </w:rPr>
            </w:pPr>
            <w:r>
              <w:rPr>
                <w:rFonts w:ascii="Arial" w:cs="Arial" w:eastAsia="Arial" w:hAnsi="Arial"/>
                <w:sz w:val="18"/>
                <w:szCs w:val="18"/>
                <w:color w:val="auto"/>
                <w:w w:val="92"/>
              </w:rPr>
              <w:t>Fair Value</w:t>
            </w:r>
          </w:p>
        </w:tc>
        <w:tc>
          <w:tcPr>
            <w:tcW w:w="260" w:type="dxa"/>
            <w:vAlign w:val="bottom"/>
          </w:tcPr>
          <w:p>
            <w:pPr>
              <w:spacing w:after="0"/>
              <w:rPr>
                <w:sz w:val="20"/>
                <w:szCs w:val="20"/>
                <w:color w:val="auto"/>
              </w:rPr>
            </w:pPr>
          </w:p>
        </w:tc>
        <w:tc>
          <w:tcPr>
            <w:tcW w:w="2220" w:type="dxa"/>
            <w:vAlign w:val="bottom"/>
            <w:gridSpan w:val="5"/>
          </w:tcPr>
          <w:p>
            <w:pPr>
              <w:ind w:left="220"/>
              <w:spacing w:after="0"/>
              <w:rPr>
                <w:sz w:val="20"/>
                <w:szCs w:val="20"/>
                <w:color w:val="auto"/>
              </w:rPr>
            </w:pPr>
            <w:r>
              <w:rPr>
                <w:rFonts w:ascii="Arial" w:cs="Arial" w:eastAsia="Arial" w:hAnsi="Arial"/>
                <w:sz w:val="18"/>
                <w:szCs w:val="18"/>
                <w:color w:val="auto"/>
              </w:rPr>
              <w:t>September 30, 2023</w:t>
            </w:r>
          </w:p>
        </w:tc>
        <w:tc>
          <w:tcPr>
            <w:tcW w:w="260" w:type="dxa"/>
            <w:vAlign w:val="bottom"/>
          </w:tcPr>
          <w:p>
            <w:pPr>
              <w:spacing w:after="0"/>
              <w:rPr>
                <w:sz w:val="20"/>
                <w:szCs w:val="20"/>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168"/>
        </w:trPr>
        <w:tc>
          <w:tcPr>
            <w:tcW w:w="44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Hierarchy</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and agency notes</w:t>
            </w:r>
          </w:p>
        </w:tc>
        <w:tc>
          <w:tcPr>
            <w:tcW w:w="1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with unrealized losses for less than 12 months</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 unrealized losses for more than 12 months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with unrealized gains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U.S. Treasury and agency notes</w:t>
            </w:r>
          </w:p>
        </w:tc>
        <w:tc>
          <w:tcPr>
            <w:tcW w:w="1860" w:type="dxa"/>
            <w:vAlign w:val="bottom"/>
            <w:tcBorders>
              <w:top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96"/>
              </w:rPr>
              <w:t>Level 2</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15,582</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color w:val="auto"/>
              </w:rPr>
              <w:t>Corporate notes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 unrealized losses for less than 12 months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with unrealized losses for more than 12 months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 unrealized gains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notes</w:t>
            </w:r>
          </w:p>
        </w:tc>
        <w:tc>
          <w:tcPr>
            <w:tcW w:w="1860" w:type="dxa"/>
            <w:vAlign w:val="bottom"/>
            <w:tcBorders>
              <w:bottom w:val="single" w:sz="8" w:color="CCEEFF"/>
            </w:tcBorders>
          </w:tcPr>
          <w:p>
            <w:pPr>
              <w:jc w:val="center"/>
              <w:ind w:left="610"/>
              <w:spacing w:after="0"/>
              <w:rPr>
                <w:sz w:val="20"/>
                <w:szCs w:val="20"/>
                <w:color w:val="auto"/>
              </w:rPr>
            </w:pPr>
            <w:r>
              <w:rPr>
                <w:rFonts w:ascii="Arial" w:cs="Arial" w:eastAsia="Arial" w:hAnsi="Arial"/>
                <w:sz w:val="18"/>
                <w:szCs w:val="18"/>
                <w:color w:val="auto"/>
                <w:w w:val="96"/>
              </w:rPr>
              <w:t>Level 2</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17,862</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29,456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33,444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ASC Topic 326, "Financial Instruments - Credit Losses," requires the Company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September 30, 2023, the Company has not recorded any credit losses.</w:t>
      </w:r>
    </w:p>
    <w:p>
      <w:pPr>
        <w:spacing w:after="0" w:line="50"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As of September 30, 2023, the fair market value of marketable securities was $79,000 below their cost basis. The Company’s gross unrealized holding gains equaled $0 and gross unrealized holding losses equaled $79,000. For the nine-months ended September 30, 2023, the adjustment to accumulated other comprehensive loss reflected an improvement in market value of $129,000, including estimated taxes of $36,000.</w:t>
      </w:r>
    </w:p>
    <w:p>
      <w:pPr>
        <w:spacing w:after="0" w:line="2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elected to exclude applicable accrued interest from both the fair value and the amortized cost basis of the available-for-sale debt securities, and separately present the accrued interest receivable balance per ASC Topic 326. The accrued interest receivables balance totaled $213,000 as of September 30, 2023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U.S. Treasury and agency notes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unrealized losses on the Company's investments in U.S. Treasury and agency notes at September 30, 2023 and December 31, 2022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September 30, 2023 and December 31, 2022, the Company did not intend to sell these securities and it is not more-likely-than-not the Company would be required to sell these securities before recovery of their cost basis. Therefore, these investments did not require an ACL as of September 30, 2023 and December 31, 2022.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notes</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September 30, 2023 and December 31, 2022, the Company did not intend to sell these securities and it is not more-likely-than-not the Company would be required to sell these securities before recovery of their cost basis. Therefore, these investments did not require an ACL as of September 30, 2023 and December 31, 2022.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maturities, at par, of marketable securities as of:</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color w:val="auto"/>
              </w:rPr>
              <w:t>September 30, 2023</w:t>
            </w:r>
          </w:p>
        </w:tc>
        <w:tc>
          <w:tcPr>
            <w:tcW w:w="820" w:type="dxa"/>
            <w:vAlign w:val="bottom"/>
            <w:tcBorders>
              <w:bottom w:val="single" w:sz="8" w:color="auto"/>
            </w:tcBorders>
          </w:tcPr>
          <w:p>
            <w:pPr>
              <w:spacing w:after="0"/>
              <w:rPr>
                <w:sz w:val="20"/>
                <w:szCs w:val="20"/>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w:t>
            </w: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622"/>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color w:val="auto"/>
              </w:rPr>
              <w:t>December 31, 2022</w:t>
            </w:r>
          </w:p>
        </w:tc>
        <w:tc>
          <w:tcPr>
            <w:tcW w:w="820" w:type="dxa"/>
            <w:vAlign w:val="bottom"/>
            <w:tcBorders>
              <w:bottom w:val="single" w:sz="8" w:color="auto"/>
            </w:tcBorders>
          </w:tcPr>
          <w:p>
            <w:pPr>
              <w:spacing w:after="0"/>
              <w:rPr>
                <w:sz w:val="24"/>
                <w:szCs w:val="24"/>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17,970</w:t>
            </w: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investments in corporate notes are with companies that have an investment grade rating from Standard &amp; Poor’s as of September 30, 2023.</w:t>
      </w:r>
    </w:p>
    <w:p>
      <w:pPr>
        <w:spacing w:after="0" w:line="12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accumulated real estate development costs by project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September 30, 2023</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2022</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color w:val="auto"/>
              </w:rPr>
              <w:t>Real estate development</w:t>
            </w:r>
          </w:p>
        </w:tc>
        <w:tc>
          <w:tcPr>
            <w:tcW w:w="2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Mountain Village</w:t>
            </w:r>
          </w:p>
        </w:tc>
        <w:tc>
          <w:tcPr>
            <w:tcW w:w="2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153,156</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Centennial</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117,518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115,221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Grapevine</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Tejon Ranch Commerce Center</w:t>
            </w:r>
          </w:p>
        </w:tc>
        <w:tc>
          <w:tcPr>
            <w:tcW w:w="2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13,643</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development</w:t>
            </w:r>
          </w:p>
        </w:tc>
        <w:tc>
          <w:tcPr>
            <w:tcW w:w="2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321,293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Tejon Ranch Commerce Center</w:t>
            </w:r>
          </w:p>
        </w:tc>
        <w:tc>
          <w:tcPr>
            <w:tcW w:w="2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20,590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20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40" w:type="dxa"/>
            <w:vAlign w:val="bottom"/>
            <w:vMerge w:val="restart"/>
          </w:tcPr>
          <w:p>
            <w:pPr>
              <w:jc w:val="right"/>
              <w:ind w:right="81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WATER ASSETS</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TCWD in the Kern Water Banks.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secured SWP entitlements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initial term of the water purchase agreement with Nickel runs to 2044 and includes a Company option to extend the contract for an additional 35 years. The purchase cost of water in 2023 is $928 per acre-foot. The purchase cost is subject to annual cost increases based on the greater of the Consumer Price Index or 3%.</w:t>
      </w:r>
    </w:p>
    <w:p>
      <w:pPr>
        <w:spacing w:after="0" w:line="4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described.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w w:val="90"/>
              </w:rPr>
              <w:t>Water revenues and cost of sales were as follows for the nine months ended ($ in thousands):</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color w:val="auto"/>
              </w:rPr>
              <w:t>September 30, 2023</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6"/>
              </w:rPr>
              <w:t>September 30, 2022</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Acre-Feet Sold</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2"/>
              </w:rPr>
              <w:t>The costs assigned to water assets held for future use were as follows ($ in thousands):</w:t>
            </w: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color w:val="auto"/>
              </w:rPr>
              <w:t>September 30, 2023</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Banked water and water for future delivery</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Transferable water</w:t>
            </w: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water held for future use at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Water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carrying amounts of its purchased water contracts were as follows ($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720"/>
              <w:spacing w:after="0"/>
              <w:rPr>
                <w:sz w:val="20"/>
                <w:szCs w:val="20"/>
                <w:color w:val="auto"/>
              </w:rPr>
            </w:pPr>
            <w:r>
              <w:rPr>
                <w:rFonts w:ascii="Arial" w:cs="Arial" w:eastAsia="Arial" w:hAnsi="Arial"/>
                <w:sz w:val="18"/>
                <w:szCs w:val="18"/>
                <w:color w:val="auto"/>
              </w:rPr>
              <w:t>September 30, 2023</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Arial" w:cs="Arial" w:eastAsia="Arial" w:hAnsi="Arial"/>
                <w:sz w:val="18"/>
                <w:szCs w:val="18"/>
                <w:color w:val="auto"/>
              </w:rPr>
              <w:t>December 31, 2022</w:t>
            </w: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Accumulated</w:t>
            </w:r>
          </w:p>
        </w:tc>
      </w:tr>
      <w:tr>
        <w:trPr>
          <w:trHeight w:val="243"/>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Depreciation</w:t>
            </w: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Dudley-Ridge water rights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Nickel water rights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(5,890)</w:t>
            </w: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w:t>
            </w:r>
          </w:p>
        </w:tc>
      </w:tr>
      <w:tr>
        <w:trPr>
          <w:trHeight w:val="223"/>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investments in water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14" w:name="page15"/>
    <w:bookmarkEnd w:id="14"/>
    <w:p>
      <w:pPr>
        <w:ind w:right="80"/>
        <w:spacing w:after="0" w:line="263" w:lineRule="auto"/>
        <w:rPr>
          <w:sz w:val="20"/>
          <w:szCs w:val="20"/>
          <w:color w:val="auto"/>
        </w:rPr>
      </w:pPr>
      <w:r>
        <w:rPr>
          <w:rFonts w:ascii="Arial" w:cs="Arial" w:eastAsia="Arial" w:hAnsi="Arial"/>
          <w:sz w:val="18"/>
          <w:szCs w:val="18"/>
          <w:color w:val="auto"/>
        </w:rPr>
        <w:t>Water contracts with the WRMWSD, and TCWD are also in place, but were entered into with each district at inception of the contract, and not purchased later from third-parties, and do not have a related financial value on the books of the Company. Therefore, there is no amortization expense related to these contracts. Total water resources, including both recurring and one-time usage, 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(in acre-feet, unaudited)</w:t>
            </w:r>
          </w:p>
        </w:tc>
        <w:tc>
          <w:tcPr>
            <w:tcW w:w="2620" w:type="dxa"/>
            <w:vAlign w:val="bottom"/>
            <w:gridSpan w:val="2"/>
          </w:tcPr>
          <w:p>
            <w:pPr>
              <w:ind w:left="540"/>
              <w:spacing w:after="0"/>
              <w:rPr>
                <w:sz w:val="20"/>
                <w:szCs w:val="20"/>
                <w:color w:val="auto"/>
              </w:rPr>
            </w:pPr>
            <w:r>
              <w:rPr>
                <w:rFonts w:ascii="Arial" w:cs="Arial" w:eastAsia="Arial" w:hAnsi="Arial"/>
                <w:sz w:val="18"/>
                <w:szCs w:val="18"/>
                <w:color w:val="auto"/>
              </w:rPr>
              <w:t>September 30, 2023</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December 31, 2022</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color w:val="auto"/>
              </w:rPr>
              <w:t>Water held for future use</w:t>
            </w:r>
          </w:p>
        </w:tc>
        <w:tc>
          <w:tcPr>
            <w:tcW w:w="2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62,379</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52,554</w:t>
            </w: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Company water bank</w:t>
            </w:r>
          </w:p>
        </w:tc>
        <w:tc>
          <w:tcPr>
            <w:tcW w:w="2520" w:type="dxa"/>
            <w:vAlign w:val="bottom"/>
          </w:tcPr>
          <w:p>
            <w:pPr>
              <w:jc w:val="right"/>
              <w:spacing w:after="0"/>
              <w:rPr>
                <w:sz w:val="20"/>
                <w:szCs w:val="20"/>
                <w:color w:val="auto"/>
              </w:rPr>
            </w:pPr>
            <w:r>
              <w:rPr>
                <w:rFonts w:ascii="Arial" w:cs="Arial" w:eastAsia="Arial" w:hAnsi="Arial"/>
                <w:sz w:val="18"/>
                <w:szCs w:val="18"/>
                <w:color w:val="auto"/>
              </w:rPr>
              <w:t>52,631</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50,349</w:t>
            </w: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Transferable water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Recharged project water</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water held for future use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105,451</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Purchased water contracts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Contracts (Dudley-Ridge, Nickel and Tulare)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WRMWSD - Contracts with the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15,547</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TCWD - Contracts with the Company</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23"/>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purchased water contracts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31,433</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31,433</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water held for future use and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156,130</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136,884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Tejon Ranchcorp, or Ranchcorp, a wholly-owned subsidiary of Tejon Ranch Co., entered into a Water Supply Agreement with PEF in 2015. PEF is the current lessee of the Company in a land lease for the operation of a power plant. Pursuant to the Water Supply Agreement, PEF may purchase from the Company up to 3,500 acre-feet of water per year from January 1, 2017 through July 31, 2030, with an option to extend the term by three additional five-year periods. PEF is under no obligation to purchase water from the Company in any year but is required to pay the Company an annual option payment equal to 30% of the maximum annual payment. The price of the water under the Water Supply Agreement for 2023 is $1,261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6.   ACCRUED LIABILITIES AND OTHER</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Accrued liabilities and other consisted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in thousands)</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September 30, 2023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December 31, 2022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paid personal leave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Property tax payable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LINE OF CREDIT AND LONG-TERM DEBT</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80" w:type="dxa"/>
            <w:vAlign w:val="bottom"/>
            <w:gridSpan w:val="2"/>
          </w:tcPr>
          <w:p>
            <w:pPr>
              <w:spacing w:after="0"/>
              <w:rPr>
                <w:sz w:val="20"/>
                <w:szCs w:val="20"/>
                <w:color w:val="auto"/>
              </w:rPr>
            </w:pPr>
            <w:r>
              <w:rPr>
                <w:rFonts w:ascii="Arial" w:cs="Arial" w:eastAsia="Arial" w:hAnsi="Arial"/>
                <w:sz w:val="18"/>
                <w:szCs w:val="18"/>
                <w:color w:val="auto"/>
              </w:rPr>
              <w:t>Debt consisted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in thousands)</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6"/>
              </w:rPr>
              <w:t>September 30, 2023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8"/>
              </w:rPr>
              <w:t>December 31, 2022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48,832</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line-of-credit and current maturities of long-term debt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loan costs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On June 30, 2022, the Company entered into a variable rate term note, or New Term Note, and a new Revolving Line of Credit Note, or New RLC, with Bank of America, N.A, or collectively the New Credit Facility. The New Term Note provided a principal amount of $49,080,000 and a maturity date of June 30, 2032, which was used to pay off the existing Wells Fargo</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right="940"/>
        <w:spacing w:after="0" w:line="261" w:lineRule="auto"/>
        <w:rPr>
          <w:sz w:val="20"/>
          <w:szCs w:val="20"/>
          <w:color w:val="auto"/>
        </w:rPr>
      </w:pPr>
      <w:r>
        <w:rPr>
          <w:rFonts w:ascii="Arial" w:cs="Arial" w:eastAsia="Arial" w:hAnsi="Arial"/>
          <w:sz w:val="18"/>
          <w:szCs w:val="18"/>
          <w:color w:val="auto"/>
        </w:rPr>
        <w:t>Amended Term Note. The Company evaluated the debt exchange under ASC 470 and determined that the exchange should be treated as a debt extinguishment. The amount available from the New RLC under the New Credit Facility is $40,607,000.</w:t>
      </w:r>
    </w:p>
    <w:p>
      <w:pPr>
        <w:spacing w:after="0" w:line="4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New Term Note had a $47,338,000 balance as of September 30, 2023. The interest rate per annum applicable to the New Term Loan is the daily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30, 2032. The New Credit Facility is secured by the Company's farmland and farm assets, which include equipment, crops and crop receivables; the PEF power plant lease and lease site; and related accounts and other rights to payment and inventory.</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New RLC had no outstanding balance as of September 30, 2023. At the Company’s option, the interest rate on this line of credit can float at a rate equal to Daily SOFR plus 1.37% or can be fixed at a rate equal to Term SOFR plus 1.37% above Term SOFR for interest periods elected by the Company. During the term of this RLC (which expires on June 30, 2027), the Company can borrow at any time and partially or wholly repay any outstanding borrowings and then re-borrow, as necessary.</w:t>
      </w:r>
    </w:p>
    <w:p>
      <w:pPr>
        <w:spacing w:after="0" w:line="6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also has a $4,750,000 promissory note agreement whose principal and interest due monthly began October 1, 2013. The promissory note is secured by four commercial properties at TRCC-West that are leased by fast casual restaurant operators. The interest rate on this promissory note is 4.25% per annum, with principal and interest payments ending on September 1, 2028. The balance as of September 30, 2023 was $1,494,000.</w:t>
      </w:r>
    </w:p>
    <w:p>
      <w:pPr>
        <w:spacing w:after="0" w:line="33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2023</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2022</w:t>
            </w:r>
          </w:p>
        </w:tc>
      </w:tr>
      <w:tr>
        <w:trPr>
          <w:trHeight w:val="223"/>
        </w:trPr>
        <w:tc>
          <w:tcPr>
            <w:tcW w:w="64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Pension liability (See Note 13)</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Supplemental executive retirement plan liability (See Note 13)</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6,186</w:t>
            </w: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Excess joint venture distributions and other</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r>
      <w:tr>
        <w:trPr>
          <w:trHeight w:val="223"/>
        </w:trPr>
        <w:tc>
          <w:tcPr>
            <w:tcW w:w="646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29"/>
        </w:trPr>
        <w:tc>
          <w:tcPr>
            <w:tcW w:w="6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r>
    </w:tbl>
    <w:p>
      <w:pPr>
        <w:ind w:left="40" w:right="600"/>
        <w:spacing w:after="0" w:line="206"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Company's pension account had an asset balance of $175,000 as of September 30, 2023 and is recorded under the caption Other Assets on the Consolidated Balance Sheets.</w:t>
      </w:r>
    </w:p>
    <w:p>
      <w:pPr>
        <w:spacing w:after="0" w:line="200" w:lineRule="exact"/>
        <w:rPr>
          <w:sz w:val="20"/>
          <w:szCs w:val="20"/>
          <w:color w:val="auto"/>
        </w:rPr>
      </w:pPr>
    </w:p>
    <w:p>
      <w:pPr>
        <w:spacing w:after="0" w:line="28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 RESTRICTED STOCK AND PERFORMANCE SHARE GRANTS</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share price, or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fair value for market-based awards is determined using a </w:t>
      </w:r>
      <w:r>
        <w:rPr>
          <w:rFonts w:ascii="Arial" w:cs="Arial" w:eastAsia="Arial" w:hAnsi="Arial"/>
          <w:sz w:val="17"/>
          <w:szCs w:val="17"/>
          <w:i w:val="1"/>
          <w:iCs w:val="1"/>
          <w:color w:val="auto"/>
        </w:rPr>
        <w:t>Monte Carlo</w:t>
      </w:r>
      <w:r>
        <w:rPr>
          <w:rFonts w:ascii="Arial" w:cs="Arial" w:eastAsia="Arial" w:hAnsi="Arial"/>
          <w:sz w:val="17"/>
          <w:szCs w:val="17"/>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Performance Condition Grants outstanding as of September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100" w:type="dxa"/>
            <w:vAlign w:val="bottom"/>
            <w:gridSpan w:val="2"/>
          </w:tcPr>
          <w:p>
            <w:pPr>
              <w:ind w:left="1380"/>
              <w:spacing w:after="0"/>
              <w:rPr>
                <w:sz w:val="20"/>
                <w:szCs w:val="20"/>
                <w:color w:val="auto"/>
              </w:rPr>
            </w:pPr>
            <w:r>
              <w:rPr>
                <w:rFonts w:ascii="Arial" w:cs="Arial" w:eastAsia="Arial" w:hAnsi="Arial"/>
                <w:sz w:val="18"/>
                <w:szCs w:val="18"/>
                <w:color w:val="auto"/>
              </w:rPr>
              <w:t>Performance Condition Grants</w:t>
            </w:r>
          </w:p>
        </w:tc>
      </w:tr>
      <w:tr>
        <w:trPr>
          <w:trHeight w:val="223"/>
        </w:trPr>
        <w:tc>
          <w:tcPr>
            <w:tcW w:w="4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Target performance</w:t>
            </w:r>
          </w:p>
        </w:tc>
        <w:tc>
          <w:tcPr>
            <w:tcW w:w="8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221,245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Maximum performance</w:t>
            </w:r>
          </w:p>
        </w:tc>
        <w:tc>
          <w:tcPr>
            <w:tcW w:w="8080" w:type="dxa"/>
            <w:vAlign w:val="bottom"/>
          </w:tcPr>
          <w:p>
            <w:pPr>
              <w:jc w:val="right"/>
              <w:spacing w:after="0"/>
              <w:rPr>
                <w:sz w:val="20"/>
                <w:szCs w:val="20"/>
                <w:color w:val="auto"/>
              </w:rPr>
            </w:pPr>
            <w:r>
              <w:rPr>
                <w:rFonts w:ascii="Arial" w:cs="Arial" w:eastAsia="Arial" w:hAnsi="Arial"/>
                <w:sz w:val="18"/>
                <w:szCs w:val="18"/>
                <w:color w:val="auto"/>
              </w:rPr>
              <w:t>319,559</w:t>
            </w:r>
          </w:p>
        </w:tc>
        <w:tc>
          <w:tcPr>
            <w:tcW w:w="20" w:type="dxa"/>
            <w:vAlign w:val="bottom"/>
          </w:tcPr>
          <w:p>
            <w:pPr>
              <w:spacing w:after="0"/>
              <w:rPr>
                <w:sz w:val="20"/>
                <w:szCs w:val="20"/>
                <w:color w:val="auto"/>
              </w:rPr>
            </w:pPr>
          </w:p>
        </w:tc>
      </w:tr>
      <w:tr>
        <w:trPr>
          <w:trHeight w:val="863"/>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80" w:type="dxa"/>
            <w:vAlign w:val="bottom"/>
          </w:tcPr>
          <w:p>
            <w:pPr>
              <w:jc w:val="right"/>
              <w:ind w:right="541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6" w:name="page17"/>
    <w:bookmarkEnd w:id="16"/>
    <w:p>
      <w:pPr>
        <w:ind w:right="200"/>
        <w:spacing w:after="0" w:line="277" w:lineRule="auto"/>
        <w:rPr>
          <w:sz w:val="20"/>
          <w:szCs w:val="20"/>
          <w:color w:val="auto"/>
        </w:rPr>
      </w:pPr>
      <w:r>
        <w:rPr>
          <w:rFonts w:ascii="Arial" w:cs="Arial" w:eastAsia="Arial" w:hAnsi="Arial"/>
          <w:sz w:val="18"/>
          <w:szCs w:val="18"/>
          <w:color w:val="auto"/>
        </w:rPr>
        <w:t>The following is a summary of the Company’s stock grant activity, both time and performance share grants, assuming target achievement for outstanding performance grants for the nine months ended September 30, 2023:</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84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September 30, 2023</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Grants Outstanding Beginning of Period at Target Achievement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234,899</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New Stock Grants/Additional Shares due to Achievement in Excess of Target</w:t>
            </w:r>
          </w:p>
        </w:tc>
        <w:tc>
          <w:tcPr>
            <w:tcW w:w="2360" w:type="dxa"/>
            <w:vAlign w:val="bottom"/>
          </w:tcPr>
          <w:p>
            <w:pPr>
              <w:jc w:val="right"/>
              <w:spacing w:after="0"/>
              <w:rPr>
                <w:sz w:val="20"/>
                <w:szCs w:val="20"/>
                <w:color w:val="auto"/>
              </w:rPr>
            </w:pPr>
            <w:r>
              <w:rPr>
                <w:rFonts w:ascii="Arial" w:cs="Arial" w:eastAsia="Arial" w:hAnsi="Arial"/>
                <w:sz w:val="18"/>
                <w:szCs w:val="18"/>
                <w:color w:val="auto"/>
              </w:rPr>
              <w:t>321,026</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Grants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(169,621)</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Expired/Forfeited Grants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(16,610)</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Grants Outstanding End of Period at Target Achievement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369,694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following is a summary of the assumptions used to determine the fair value for the Company’s outstanding market-based Performance Condition Grants as of September 30,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 in thousands except for share prices)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12/11/2020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03/18/2021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12/16/2021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03/17/2022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12/14/2022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06/16/2023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06/16/2023</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Vesting end</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12/31/2023</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03/18/2024</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12/16/2024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03/17/2025</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12/14/2025</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12/31/2023</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12/31/2025</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Target share price to achieve award</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$17.07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$20.43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$21.99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$19.24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$20.72</w:t>
            </w:r>
          </w:p>
        </w:tc>
      </w:tr>
      <w:tr>
        <w:trPr>
          <w:trHeight w:val="270"/>
        </w:trPr>
        <w:tc>
          <w:tcPr>
            <w:tcW w:w="3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30.30%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31.54%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32.14%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27.09%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26.58%</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0.19%</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0.92%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2.13%</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3.84%</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4.38%</w:t>
            </w:r>
          </w:p>
        </w:tc>
      </w:tr>
      <w:tr>
        <w:trPr>
          <w:trHeight w:val="270"/>
        </w:trPr>
        <w:tc>
          <w:tcPr>
            <w:tcW w:w="3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Fair value per share at grant date</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$15.59</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$18.82</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$21.48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$21.75</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$26.00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$13.18</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$20.24</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3,628</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10,905</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3,536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13,338</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4,613</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33,035</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28,545</w:t>
            </w:r>
          </w:p>
        </w:tc>
      </w:tr>
      <w:tr>
        <w:trPr>
          <w:trHeight w:val="224"/>
        </w:trPr>
        <w:tc>
          <w:tcPr>
            <w:tcW w:w="3280" w:type="dxa"/>
            <w:vAlign w:val="bottom"/>
          </w:tcPr>
          <w:p>
            <w:pPr>
              <w:ind w:left="20"/>
              <w:spacing w:after="0"/>
              <w:rPr>
                <w:sz w:val="20"/>
                <w:szCs w:val="20"/>
                <w:color w:val="auto"/>
              </w:rPr>
            </w:pPr>
            <w:r>
              <w:rPr>
                <w:rFonts w:ascii="Arial" w:cs="Arial" w:eastAsia="Arial" w:hAnsi="Arial"/>
                <w:sz w:val="18"/>
                <w:szCs w:val="18"/>
                <w:color w:val="auto"/>
              </w:rPr>
              <w:t>Total fair value of award</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$57</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$205</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$76</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$290</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$120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$435</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$578</w:t>
            </w:r>
          </w:p>
        </w:tc>
      </w:tr>
    </w:tbl>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unamortized cost associated with unvested stock grants and the weighted average period over which it is expected to be recognized as of September 30, 2023 were $2,780,000 and 20 months, respectively. The fair value of restricted stock with time-based vesting features is based upon the Company’s share price on the date of grant and is expensed over the service period. The fair value of Performance Milestone Grants that cliff vest based on the achievement of performance conditions is based on the share price of the Company’s stock on the day of grant multiplied by the number of shares probable to vest based on the estimated achievement of specific performance measures.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2023 Stock Incentive Plan, each non-employee director receives all or a portion of his or her annual compensation in stock. The stock is granted at the end of each quarter based on the quarter-end stock price.</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summarizes stock compensation costs for the Company's 2023 Stock Incentive Plan, and outstanding grants for the 1998 Stock Incentive Plan, or the Employee Plan for the following periods: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2022</w:t>
            </w:r>
          </w:p>
        </w:tc>
      </w:tr>
      <w:tr>
        <w:trPr>
          <w:trHeight w:val="223"/>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9"/>
        </w:trPr>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Capitalized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7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Director - Expensed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 Compensation Costs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 w:name="page18"/>
    <w:bookmarkEnd w:id="17"/>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30, 2022, the Company entered into a variable rate term note, or New Term Note, with Bank of America, N.A. On the same day, the Company entered into a new interest rate swap agreement to reduce its exposure to fluctuations in the floating interest rate tied to SOFR under the New Term Note. Per ASC 815, an entity may apply the shortcut method to hedging relationships that meet all of the conditions under ASC 815. The Company performed an initial assessment of the hedging relationship and determined it is appropriate to apply the shortcut method as all conditions were met. The new interest rate swap qualified as an effective cash flow hedge under the guidance of ASC 815. Applying the shortcut method allows the Company to assume that it has a perfectly effective hedging relationship, therefore there is no need for the Company to perform any quantitative assessments of whether the hedge is highly effective.</w:t>
      </w:r>
    </w:p>
    <w:p>
      <w:pPr>
        <w:spacing w:after="0" w:line="6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September 30, 2023, the fair value of the interest rate swap agreement was greater than its cost basis and as such, the mark-to-market adjustment is recorded within Other Assets on the Consolidated Balance Sheets. The Company had the following outstanding interest rate swap agreement designated as an interest rate cash flow hedge as of September 30, 2023 and December 31, 2022 ($ in thousands):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jc w:val="center"/>
              <w:ind w:right="120"/>
              <w:spacing w:after="0" w:line="169" w:lineRule="exact"/>
              <w:rPr>
                <w:sz w:val="20"/>
                <w:szCs w:val="20"/>
                <w:color w:val="auto"/>
              </w:rPr>
            </w:pPr>
            <w:r>
              <w:rPr>
                <w:rFonts w:ascii="Arial" w:cs="Arial" w:eastAsia="Arial" w:hAnsi="Arial"/>
                <w:sz w:val="18"/>
                <w:szCs w:val="18"/>
                <w:color w:val="auto"/>
                <w:w w:val="89"/>
              </w:rPr>
              <w:t>Weighted Average</w:t>
            </w: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r>
      <w:tr>
        <w:trPr>
          <w:trHeight w:val="243"/>
        </w:trPr>
        <w:tc>
          <w:tcPr>
            <w:tcW w:w="2120" w:type="dxa"/>
            <w:vAlign w:val="bottom"/>
            <w:gridSpan w:val="2"/>
          </w:tcPr>
          <w:p>
            <w:pPr>
              <w:ind w:left="480"/>
              <w:spacing w:after="0"/>
              <w:rPr>
                <w:sz w:val="20"/>
                <w:szCs w:val="20"/>
                <w:color w:val="auto"/>
              </w:rPr>
            </w:pPr>
            <w:r>
              <w:rPr>
                <w:rFonts w:ascii="Arial" w:cs="Arial" w:eastAsia="Arial" w:hAnsi="Arial"/>
                <w:sz w:val="18"/>
                <w:szCs w:val="18"/>
                <w:color w:val="auto"/>
              </w:rPr>
              <w:t>Effective Date</w:t>
            </w: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Maturity Date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Fair Value Hierarchy</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Interest Pay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Fair Value</w:t>
            </w: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Notional Amount</w:t>
            </w:r>
          </w:p>
        </w:tc>
      </w:tr>
      <w:tr>
        <w:trPr>
          <w:trHeight w:val="223"/>
        </w:trPr>
        <w:tc>
          <w:tcPr>
            <w:tcW w:w="20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June 30, 2032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$3,448</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$47,338</w:t>
            </w:r>
          </w:p>
        </w:tc>
      </w:tr>
      <w:tr>
        <w:trPr>
          <w:trHeight w:val="432"/>
        </w:trPr>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color w:val="auto"/>
              </w:rPr>
              <w:t>December 31, 2022</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169"/>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20"/>
              <w:spacing w:after="0" w:line="169" w:lineRule="exact"/>
              <w:rPr>
                <w:sz w:val="20"/>
                <w:szCs w:val="20"/>
                <w:color w:val="auto"/>
              </w:rPr>
            </w:pPr>
            <w:r>
              <w:rPr>
                <w:rFonts w:ascii="Arial" w:cs="Arial" w:eastAsia="Arial" w:hAnsi="Arial"/>
                <w:sz w:val="18"/>
                <w:szCs w:val="18"/>
                <w:color w:val="auto"/>
                <w:w w:val="89"/>
              </w:rPr>
              <w:t>Weighted Average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43"/>
        </w:trPr>
        <w:tc>
          <w:tcPr>
            <w:tcW w:w="2120" w:type="dxa"/>
            <w:vAlign w:val="bottom"/>
            <w:gridSpan w:val="2"/>
          </w:tcPr>
          <w:p>
            <w:pPr>
              <w:ind w:left="480"/>
              <w:spacing w:after="0"/>
              <w:rPr>
                <w:sz w:val="20"/>
                <w:szCs w:val="20"/>
                <w:color w:val="auto"/>
              </w:rPr>
            </w:pPr>
            <w:r>
              <w:rPr>
                <w:rFonts w:ascii="Arial" w:cs="Arial" w:eastAsia="Arial" w:hAnsi="Arial"/>
                <w:sz w:val="18"/>
                <w:szCs w:val="18"/>
                <w:color w:val="auto"/>
              </w:rPr>
              <w:t>Effective Date</w:t>
            </w: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Maturity Date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Fair Value Hierarchy</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Interest Pay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Fair Value</w:t>
            </w: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Notional Amount</w:t>
            </w:r>
          </w:p>
        </w:tc>
      </w:tr>
      <w:tr>
        <w:trPr>
          <w:trHeight w:val="223"/>
        </w:trPr>
        <w:tc>
          <w:tcPr>
            <w:tcW w:w="20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June 30, 2032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$1,430</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$48,462</w:t>
            </w:r>
          </w:p>
        </w:tc>
      </w:tr>
    </w:tbl>
    <w:p>
      <w:pPr>
        <w:spacing w:after="0" w:line="238"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Company’s provision for income taxes as of September 30, 2023 has been calculated by applying an estimate of the annual effective tax rate for the full year to “ordinary” income or loss (pre-tax income or loss excluding unusual or infrequently occurring discrete items). For the nine months</w:t>
      </w:r>
    </w:p>
    <w:p>
      <w:pPr>
        <w:ind w:right="80"/>
        <w:spacing w:after="0" w:line="302" w:lineRule="auto"/>
        <w:rPr>
          <w:sz w:val="20"/>
          <w:szCs w:val="20"/>
          <w:color w:val="auto"/>
        </w:rPr>
      </w:pPr>
      <w:r>
        <w:rPr>
          <w:rFonts w:ascii="Arial" w:cs="Arial" w:eastAsia="Arial" w:hAnsi="Arial"/>
          <w:sz w:val="16"/>
          <w:szCs w:val="16"/>
          <w:color w:val="auto"/>
        </w:rPr>
        <w:t>ended September 30, 2023, the Company’s income tax expense was $3,619,000 compared to $6,262,000 for the nine months ended September 30, 2022. Effective tax rates were 68% and 31% for the nine months ended September 30, 2023 and 2022, respectively. As of September 30, 2023, the Company had income taxes payable of $3,088,000. The Company classifies interest and penalties incurred on tax payments as income tax expense.</w:t>
      </w:r>
    </w:p>
    <w:p>
      <w:pPr>
        <w:spacing w:after="0" w:line="3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nine months ended September 30, 2023, the Company’s effective tax rate was above statutory tax rates as a result of permanent differences related to Section 162(m) limitations. Section 162(m) compensation deduction limitations occurred as a result of changes in tax law arising from the 2017 Tax Cuts and Jobs Act.</w:t>
      </w:r>
    </w:p>
    <w:p>
      <w:pPr>
        <w:spacing w:after="0" w:line="126" w:lineRule="exact"/>
        <w:rPr>
          <w:sz w:val="20"/>
          <w:szCs w:val="20"/>
          <w:color w:val="auto"/>
        </w:rPr>
      </w:pPr>
    </w:p>
    <w:p>
      <w:pPr>
        <w:ind w:right="7340" w:firstLine="8"/>
        <w:spacing w:after="0" w:line="354" w:lineRule="auto"/>
        <w:tabs>
          <w:tab w:leader="none" w:pos="45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Water Contracts</w:t>
      </w:r>
    </w:p>
    <w:p>
      <w:pPr>
        <w:spacing w:after="0" w:line="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has secured water contracts that are encumbered by the Company's land. These water contracts require minimum annual payments, for which $11,657,000 is expected to be paid in 2023. For the first nine months of 2023, the Company has paid $10,700,000 for this water.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$290,313,000 as of September 30, 2023.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September 30, 2023, the Company believes the net savings resulting from exiting the contract during this future time period will more than offset the incentive payment costs.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Community Facilities Districts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the letter of credit will never be drawn upon. The letter of credit is for two years and will be renewed in two-year intervals as necessary. The annual cost related to the letter of credit is approximately $62,000.</w:t>
      </w:r>
    </w:p>
    <w:p>
      <w:pPr>
        <w:spacing w:after="0" w:line="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September 30, 2023, there were no additional improvement funds remaining from the West CFD bonds. There are $9,763,557 of additional improvement funds remaining within the East CFD bonds for reimbursement of public infrastructure costs during future years. During fiscal 2023, the Company expects to pay approximately $2,775,000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September 30, 2023.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while not consolidated under court rules or the rules of civil procedure, the Los Angeles Superior Court judge (or Court) trying both cases determined during early trial management conferences to hold one set of hearings and issue one ruling on the matters as part of the adjudication. The Climate Resolve Action and CBD/CNPS Action seek to invalidate the Centennial Approvals and require LA County to revise the environmental documentation related to the Centennial project. The Court held three hearings for the CBD/CNPS Action and Climate Resolve Action on September 30, 2020, November 13, 2020, and January 8, 2021.</w:t>
      </w:r>
    </w:p>
    <w:p>
      <w:pPr>
        <w:spacing w:after="0" w:line="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 and further rescheduled as noted below.</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7"/>
          <w:szCs w:val="17"/>
          <w:color w:val="auto"/>
        </w:rPr>
        <w:t>On November 30, 2021, the Company, together with Ranchcorp and CFL, entered into a Settlement Agreement with Climate Resolve. Pursuant to the Settlement Agreement, the Company has agreed: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December 3, 2021, the Court granted and entered Climate Resolve’s dismissal with prejudice concluding the Climate Resolve Action. On December 1, 2021, the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2022, the Court heard CBD/CNPS' Motion for Reconsideration and issued its decision granting CBD/CNPS prevailing party status in the Climate Resolve Action.</w:t>
      </w:r>
    </w:p>
    <w:p>
      <w:pPr>
        <w:spacing w:after="0" w:line="5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Court set a tentative hearing date of February 25, 2022 concerning the entry of final judgment and awarding of appropriate remedies, which was continued several times in 2022 either on the Court's own motion or at the request of the parties and was ultimately set for hearing on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5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the Company’s options to reinstate the project approvals remain pending, the monetary value of any adverse decision, if any, cannot be estimated at this 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Incidental to Business</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outcome of these other proceedings is not predictable. However, based on current circumstances, the Company believes the ultimate resolution of these other proceedings will not have a material adverse effect on the Company’s financial position, results of operations or cash flows, either individually or in the aggregate.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RETIREMENT PLANS</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sponsors a defined benefit retirement plan, or Benefit Plan, which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contributed $165,000 to the Benefit Plan in 2023.</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0" w:name="page21"/>
    <w:bookmarkEnd w:id="20"/>
    <w:p>
      <w:pPr>
        <w:ind w:right="40"/>
        <w:spacing w:after="0" w:line="269" w:lineRule="auto"/>
        <w:rPr>
          <w:sz w:val="20"/>
          <w:szCs w:val="20"/>
          <w:color w:val="auto"/>
        </w:rPr>
      </w:pPr>
      <w:r>
        <w:rPr>
          <w:rFonts w:ascii="Arial" w:cs="Arial" w:eastAsia="Arial" w:hAnsi="Arial"/>
          <w:sz w:val="17"/>
          <w:szCs w:val="17"/>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September 30, 2023, the investment mixes were approximately at 99% debt and 1% money market funds. At December 31, 2022, the investment mixes were approximately 21% equity, 78% debt, and 1% money market funds. Equity investments consist of a combination of individual equity securities plus value funds, growth funds, large cap funds and international stock funds. The weighted-average discount rate used in determining the periodic pension cost is 5.00% in 2023 and 2022. The expected long-term rate of return on plan assets is 5.00% for both fiscal 2023 and 2022. The long-term rate of return on Benefit Plan assets is based on the historical returns within the plan and expectations for future returns.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pension and retirement earnings for the Benefit Plan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w w:val="99"/>
              </w:rPr>
              <w:t>Nine Months Ended September 30,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r>
      <w:tr>
        <w:trPr>
          <w:trHeight w:val="210"/>
        </w:trPr>
        <w:tc>
          <w:tcPr>
            <w:tcW w:w="7360" w:type="dxa"/>
            <w:vAlign w:val="bottom"/>
          </w:tcPr>
          <w:p>
            <w:pPr>
              <w:ind w:left="80"/>
              <w:spacing w:after="0"/>
              <w:rPr>
                <w:sz w:val="20"/>
                <w:szCs w:val="20"/>
                <w:color w:val="auto"/>
              </w:rPr>
            </w:pPr>
            <w:r>
              <w:rPr>
                <w:rFonts w:ascii="Arial" w:cs="Arial" w:eastAsia="Arial" w:hAnsi="Arial"/>
                <w:sz w:val="18"/>
                <w:szCs w:val="18"/>
                <w:color w:val="auto"/>
              </w:rPr>
              <w:t>(Cost)/earnings components:</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and deferral</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net periodic pension (cost)/earnings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1"/>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pension and retirement expense for the SERP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w w:val="99"/>
              </w:rPr>
              <w:t>Nine Months Ended September 30,</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8"/>
                <w:szCs w:val="18"/>
                <w:color w:val="auto"/>
              </w:rPr>
              <w:t>Cost components:</w:t>
            </w:r>
          </w:p>
        </w:tc>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8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amortization and other</w:t>
            </w:r>
          </w:p>
        </w:tc>
        <w:tc>
          <w:tcPr>
            <w:tcW w:w="34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pension cost</w:t>
            </w:r>
          </w:p>
        </w:tc>
        <w:tc>
          <w:tcPr>
            <w:tcW w:w="3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21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spacing w:after="0"/>
        <w:tabs>
          <w:tab w:leader="none" w:pos="400" w:val="left"/>
        </w:tabs>
        <w:rPr>
          <w:sz w:val="20"/>
          <w:szCs w:val="20"/>
          <w:color w:val="auto"/>
        </w:rPr>
      </w:pPr>
      <w:r>
        <w:rPr>
          <w:rFonts w:ascii="Arial" w:cs="Arial" w:eastAsia="Arial" w:hAnsi="Arial"/>
          <w:sz w:val="18"/>
          <w:szCs w:val="18"/>
          <w:b w:val="1"/>
          <w:bCs w:val="1"/>
          <w:color w:val="auto"/>
        </w:rPr>
        <w:t>14.</w:t>
        <w:tab/>
        <w:t>REPORTING SEGMENTS AND RELATED INFORMATION</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Commercial/Industrial Development</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(Investment in Unconsolidated and Consolidated Joint Ventures) for discussion of unconsolidated joint ventures.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revenues, expenses and operating income from this segment for the periods ended: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ind w:left="12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Pr>
          <w:p>
            <w:pPr>
              <w:spacing w:after="0"/>
              <w:rPr>
                <w:sz w:val="20"/>
                <w:szCs w:val="20"/>
                <w:color w:val="auto"/>
              </w:rPr>
            </w:pPr>
          </w:p>
        </w:tc>
        <w:tc>
          <w:tcPr>
            <w:tcW w:w="3020" w:type="dxa"/>
            <w:vAlign w:val="bottom"/>
            <w:gridSpan w:val="4"/>
          </w:tcPr>
          <w:p>
            <w:pPr>
              <w:jc w:val="right"/>
              <w:ind w:right="270"/>
              <w:spacing w:after="0"/>
              <w:rPr>
                <w:sz w:val="20"/>
                <w:szCs w:val="20"/>
                <w:color w:val="auto"/>
              </w:rPr>
            </w:pPr>
            <w:r>
              <w:rPr>
                <w:rFonts w:ascii="Arial" w:cs="Arial" w:eastAsia="Arial" w:hAnsi="Arial"/>
                <w:sz w:val="18"/>
                <w:szCs w:val="18"/>
                <w:color w:val="auto"/>
                <w:w w:val="93"/>
              </w:rPr>
              <w:t>Nine Months Ended September 30,</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Commercial/industrial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32,163</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in earnings of unconsolidated joint ventures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168"/>
        </w:trPr>
        <w:tc>
          <w:tcPr>
            <w:tcW w:w="45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9"/>
              </w:rPr>
              <w:t>Commercial/industrial revenues and equity in earnings of</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ventures</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Commercial/industrial expenses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w:t>
            </w:r>
          </w:p>
        </w:tc>
        <w:tc>
          <w:tcPr>
            <w:tcW w:w="0" w:type="dxa"/>
            <w:vAlign w:val="bottom"/>
          </w:tcPr>
          <w:p>
            <w:pPr>
              <w:spacing w:after="0"/>
              <w:rPr>
                <w:sz w:val="1"/>
                <w:szCs w:val="1"/>
                <w:color w:val="auto"/>
              </w:rPr>
            </w:pPr>
          </w:p>
        </w:tc>
      </w:tr>
      <w:tr>
        <w:trPr>
          <w:trHeight w:val="168"/>
        </w:trPr>
        <w:tc>
          <w:tcPr>
            <w:tcW w:w="45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Operating results from commercial/industrial and</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17,498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25,627</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unconsolidated joint ventures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Resort/Residential Development</w:t>
      </w:r>
    </w:p>
    <w:p>
      <w:pPr>
        <w:spacing w:after="0" w:line="9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$367,000 and $372,000 for the three months ended September 30, 2023 and 2022, respectively. The segment generated losses of $1,079,000 and $1,218,000 for the nine months ended September 30, 2023 and 2022,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Mineral Resources</w:t>
      </w:r>
    </w:p>
    <w:p>
      <w:pPr>
        <w:spacing w:after="0" w:line="1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20"/>
              <w:spacing w:after="0"/>
              <w:rPr>
                <w:sz w:val="20"/>
                <w:szCs w:val="20"/>
                <w:color w:val="auto"/>
              </w:rPr>
            </w:pPr>
            <w:r>
              <w:rPr>
                <w:rFonts w:ascii="Arial" w:cs="Arial" w:eastAsia="Arial" w:hAnsi="Arial"/>
                <w:sz w:val="18"/>
                <w:szCs w:val="18"/>
                <w:color w:val="auto"/>
              </w:rPr>
              <w:t>Three Months Ended September 30,</w:t>
            </w:r>
          </w:p>
        </w:tc>
        <w:tc>
          <w:tcPr>
            <w:tcW w:w="360" w:type="dxa"/>
            <w:vAlign w:val="bottom"/>
          </w:tcPr>
          <w:p>
            <w:pPr>
              <w:spacing w:after="0"/>
              <w:rPr>
                <w:sz w:val="20"/>
                <w:szCs w:val="20"/>
                <w:color w:val="auto"/>
              </w:rPr>
            </w:pPr>
          </w:p>
        </w:tc>
        <w:tc>
          <w:tcPr>
            <w:tcW w:w="3400" w:type="dxa"/>
            <w:vAlign w:val="bottom"/>
            <w:gridSpan w:val="4"/>
          </w:tcPr>
          <w:p>
            <w:pPr>
              <w:jc w:val="center"/>
              <w:ind w:right="290"/>
              <w:spacing w:after="0"/>
              <w:rPr>
                <w:sz w:val="20"/>
                <w:szCs w:val="20"/>
                <w:color w:val="auto"/>
              </w:rPr>
            </w:pPr>
            <w:r>
              <w:rPr>
                <w:rFonts w:ascii="Arial" w:cs="Arial" w:eastAsia="Arial" w:hAnsi="Arial"/>
                <w:sz w:val="18"/>
                <w:szCs w:val="18"/>
                <w:color w:val="auto"/>
                <w:w w:val="90"/>
              </w:rPr>
              <w:t>Nine Months Ended September 30,</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r>
      <w:tr>
        <w:trPr>
          <w:trHeight w:val="223"/>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Mineral resources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19,238</w:t>
            </w:r>
          </w:p>
        </w:tc>
      </w:tr>
      <w:tr>
        <w:trPr>
          <w:trHeight w:val="230"/>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Mineral resources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mineral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Farming</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200" w:type="dxa"/>
            <w:vAlign w:val="bottom"/>
            <w:gridSpan w:val="4"/>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Farming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8"/>
              </w:rPr>
              <w:t>4,776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r>
      <w:tr>
        <w:trPr>
          <w:trHeight w:val="230"/>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Farming expenses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88"/>
              </w:rPr>
              <w:t>8,752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farming</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Ranch Operations</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5"/>
          </w:tcPr>
          <w:p>
            <w:pPr>
              <w:ind w:left="18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160" w:type="dxa"/>
            <w:vAlign w:val="bottom"/>
            <w:gridSpan w:val="4"/>
          </w:tcPr>
          <w:p>
            <w:pPr>
              <w:jc w:val="right"/>
              <w:ind w:right="350"/>
              <w:spacing w:after="0"/>
              <w:rPr>
                <w:sz w:val="20"/>
                <w:szCs w:val="20"/>
                <w:color w:val="auto"/>
              </w:rPr>
            </w:pPr>
            <w:r>
              <w:rPr>
                <w:rFonts w:ascii="Arial" w:cs="Arial" w:eastAsia="Arial" w:hAnsi="Arial"/>
                <w:sz w:val="18"/>
                <w:szCs w:val="18"/>
                <w:color w:val="auto"/>
                <w:w w:val="96"/>
              </w:rPr>
              <w:t>Nine Months Ended September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23"/>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Ranch operations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r>
      <w:tr>
        <w:trPr>
          <w:trHeight w:val="229"/>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Ranch operations expenses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ranch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INVESTMENT IN UNCONSOLIDATED AND CONSOLIDATED JOINT VENTURES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2023 was $31,345,000. Equity in earnings from unconsolidated joint ventures was $4,616,000 for the nine months ended September 30, 2023. The unconsolidated joint ventures have not been consolidated as of September 30, 2023, because the Company does not control the investments. The Company’s current joint ventures are as follows:</w:t>
      </w:r>
    </w:p>
    <w:p>
      <w:pPr>
        <w:spacing w:after="0" w:line="122" w:lineRule="exact"/>
        <w:rPr>
          <w:sz w:val="20"/>
          <w:szCs w:val="20"/>
          <w:color w:val="auto"/>
        </w:rPr>
      </w:pPr>
    </w:p>
    <w:p>
      <w:pPr>
        <w:ind w:left="460" w:hanging="331"/>
        <w:spacing w:after="0" w:line="255"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$17,209,000 as of September 30, 2023.</w:t>
      </w:r>
    </w:p>
    <w:p>
      <w:pPr>
        <w:spacing w:after="0" w:line="138" w:lineRule="exact"/>
        <w:rPr>
          <w:rFonts w:ascii="Arial" w:cs="Arial" w:eastAsia="Arial" w:hAnsi="Arial"/>
          <w:sz w:val="18"/>
          <w:szCs w:val="18"/>
          <w:color w:val="auto"/>
        </w:rPr>
      </w:pPr>
    </w:p>
    <w:p>
      <w:pPr>
        <w:ind w:left="460" w:right="100" w:hanging="331"/>
        <w:spacing w:after="0" w:line="263"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Majestic Realty Co. – Majestic Realty Co., or Majestic, is a privately-held developer and owner of master planned business parks in the United States. The Company has five active 50/50 joint ventures with Majestic to acquire, develop, manage, and operate industrial real estate at TRCC. The partners have equal voting rights and share equally in the profit and loss of the joint ventures.</w:t>
      </w:r>
    </w:p>
    <w:p>
      <w:pPr>
        <w:spacing w:after="0" w:line="62" w:lineRule="exact"/>
        <w:rPr>
          <w:rFonts w:ascii="Arial" w:cs="Arial" w:eastAsia="Arial" w:hAnsi="Arial"/>
          <w:sz w:val="18"/>
          <w:szCs w:val="18"/>
          <w:color w:val="auto"/>
        </w:rPr>
      </w:pPr>
    </w:p>
    <w:p>
      <w:pPr>
        <w:ind w:left="980" w:right="40" w:hanging="324"/>
        <w:spacing w:after="0" w:line="254" w:lineRule="auto"/>
        <w:tabs>
          <w:tab w:leader="none" w:pos="9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March 29, 2022, TRC-MRC 5 LLC was formed to pursue the development, construction, lease-up, and management of an approximately 446,400 square foot industrial building located within TRCC-East. The construction is financed by a $49,226,000 construction loan that had an outstanding balance of $25,049,000 as of September 30, 2023. This debt is guaranteed by both the Company and Majestic. In December 2022, the Company contributed land with fair value of $8,501,000 to TRC-MRC5, LLC. The total cost of the land was $2,477,000. The Company recognized profit of $3,012,000 and deferred profit of $3,012,000 after applying the five-step revenue recognition model in accordance with ASC Topic 606 - Revenue From Contracts With Customers and ASC Topic 323, Investments - Equity Method and Joint Ventures. The project is currently under construction and is expected to be completed by the first quarter of 2024. The joint venture has leased 100% of the rentable space.</w:t>
      </w:r>
    </w:p>
    <w:p>
      <w:pPr>
        <w:spacing w:after="0" w:line="83" w:lineRule="exact"/>
        <w:rPr>
          <w:rFonts w:ascii="Arial" w:cs="Arial" w:eastAsia="Arial" w:hAnsi="Arial"/>
          <w:sz w:val="18"/>
          <w:szCs w:val="18"/>
          <w:color w:val="auto"/>
        </w:rPr>
      </w:pPr>
    </w:p>
    <w:p>
      <w:pPr>
        <w:ind w:left="980" w:right="40" w:hanging="324"/>
        <w:spacing w:after="0" w:line="253" w:lineRule="auto"/>
        <w:tabs>
          <w:tab w:leader="none" w:pos="9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March 25, 2021, TRC-MRC 4 LLC was formed to pursue the development, construction, lease-up, and management of a 629,274 square foot industrial building located within TRCC-East. The construction was completed in the fourth quarter of 2022, and the Company has leased 100% of the rentable space. The joint venture refinanced its construction loan in March 2023 with a promissory note. The note matures on March 1, 2033, and had an outstanding balance of $61,993,000 as of September 30, 2023. In 2021, the Company contributed land with a fair value of $8,464,000 to TRC-MRC 4, LLC. The total cost of the land was $2,895,000. The Company recognized profit of $2,785,000 and deferred profit of $2,785,000. Since its inception, the Company has received excess distributions resulting in a deficit balance in its investment of $5,893,000.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ind w:left="980" w:right="40" w:hanging="324"/>
        <w:spacing w:after="0" w:line="291" w:lineRule="auto"/>
        <w:tabs>
          <w:tab w:leader="none" w:pos="975"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building was 100% leased as of September 30, 2023. In March 2019, the joint venture entered into a promissory note with a financial institution to finance the construction of the building. The note matures on May 1, 2030 and had an outstanding principal balance of $33,847,000 as of September 30, 2023. On April 1, 2019, the Company contributed land with a fair value of $5,854,000 to TRC-MRC 3, LLC in accordance with the limited liability agreement. The Company's investment in this joint venture was $134,000 as of September 30, 2023.</w:t>
      </w:r>
    </w:p>
    <w:p>
      <w:pPr>
        <w:spacing w:after="0" w:line="58" w:lineRule="exact"/>
        <w:rPr>
          <w:rFonts w:ascii="Arial" w:cs="Arial" w:eastAsia="Arial" w:hAnsi="Arial"/>
          <w:sz w:val="16"/>
          <w:szCs w:val="16"/>
          <w:color w:val="auto"/>
        </w:rPr>
      </w:pPr>
    </w:p>
    <w:p>
      <w:pPr>
        <w:ind w:left="980" w:hanging="324"/>
        <w:spacing w:after="0" w:line="289" w:lineRule="auto"/>
        <w:tabs>
          <w:tab w:leader="none" w:pos="975"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had an outstanding principal balance of $22,110,000 as of September 30, 2023. The building was 100% leased as of September 30, 2023. Since its inception, the Company has received excess distributions resulting in a deficit balance in its investment of $1,668,000.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58" w:lineRule="exact"/>
        <w:rPr>
          <w:rFonts w:ascii="Arial" w:cs="Arial" w:eastAsia="Arial" w:hAnsi="Arial"/>
          <w:sz w:val="16"/>
          <w:szCs w:val="16"/>
          <w:color w:val="auto"/>
        </w:rPr>
      </w:pPr>
    </w:p>
    <w:p>
      <w:pPr>
        <w:ind w:left="980" w:hanging="324"/>
        <w:spacing w:after="0" w:line="290" w:lineRule="auto"/>
        <w:tabs>
          <w:tab w:leader="none" w:pos="975"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September 2016, TRC-MRC 1, LLC was formed to develop and operate an approximately 480,480 square foot industrial building at TRCC-East. The building was 100% leased as of September 30, 2023. Since its inception, the Company has received excess distributions resulting in a deficit balance in its investment of $1,604,000.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$22,308,000 was outstanding as of September 30, 2023.</w:t>
      </w:r>
    </w:p>
    <w:p>
      <w:pPr>
        <w:spacing w:after="0" w:line="57" w:lineRule="exact"/>
        <w:rPr>
          <w:rFonts w:ascii="Arial" w:cs="Arial" w:eastAsia="Arial" w:hAnsi="Arial"/>
          <w:sz w:val="16"/>
          <w:szCs w:val="16"/>
          <w:color w:val="auto"/>
        </w:rPr>
      </w:pPr>
    </w:p>
    <w:p>
      <w:pPr>
        <w:ind w:left="340" w:right="20" w:hanging="332"/>
        <w:spacing w:after="0" w:line="269"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TRCC/Rock Outlet Center LLC – This joint venture was formed in 2013 with Rockefeller Group Development Corporation, or Rockefeller. to develop, own, and manage a net leasable 326,000 square foot outlet center on land at TRCC-East. At September 30, 2023, the Company’s equity investment balance in this joint venture was $9,723,000.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On August 16, 2023, the TRCC/Rock Outlet Center LLC joint venture successfully extended the maturity date of its term note with a financial institution from May 31, 2024 to June 30, 2025. In connection with the loan extension, the joint venture also reduced the outstanding amount by $6,000,000. As of September 30, 2023, the outstanding balance of the term note was $20,924,000. The Company and Rockefeller guarantee the performance of the debt.</w:t>
      </w:r>
    </w:p>
    <w:p>
      <w:pPr>
        <w:spacing w:after="0" w:line="57" w:lineRule="exact"/>
        <w:rPr>
          <w:rFonts w:ascii="Arial" w:cs="Arial" w:eastAsia="Arial" w:hAnsi="Arial"/>
          <w:sz w:val="17"/>
          <w:szCs w:val="17"/>
          <w:color w:val="auto"/>
        </w:rPr>
      </w:pPr>
    </w:p>
    <w:p>
      <w:pPr>
        <w:ind w:left="340" w:right="120" w:hanging="332"/>
        <w:spacing w:after="0" w:line="261"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Centennial Founders, LLC – CFL is a joint venture with Tri Pointe Homes to pursue the entitlement and development of land that the Company owns in Los Angeles County. As of September 30, 2023, the Company owned 93.39% of CFL.</w:t>
      </w:r>
    </w:p>
    <w:p>
      <w:pPr>
        <w:spacing w:after="0" w:line="130"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Unaudited condensed statement of operations for the nine months ended September 30, 2023 and condensed balance sheet information of the Company’s unconsolidated joint ventures as of September 30, 2023 and December 31, 2022 are as follows: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2"/>
              </w:rPr>
              <w:t>Three Months Ended September 30,</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Arial" w:cs="Arial" w:eastAsia="Arial" w:hAnsi="Arial"/>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Arial" w:cs="Arial" w:eastAsia="Arial" w:hAnsi="Arial"/>
                <w:sz w:val="18"/>
                <w:szCs w:val="18"/>
                <w:b w:val="1"/>
                <w:bCs w:val="1"/>
                <w:color w:val="auto"/>
              </w:rPr>
              <w:t>Earnings (Loss)</w:t>
            </w:r>
          </w:p>
        </w:tc>
        <w:tc>
          <w:tcPr>
            <w:tcW w:w="340" w:type="dxa"/>
            <w:vAlign w:val="bottom"/>
          </w:tcPr>
          <w:p>
            <w:pPr>
              <w:spacing w:after="0"/>
              <w:rPr>
                <w:sz w:val="20"/>
                <w:szCs w:val="20"/>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44,976</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18-19 West,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TRC-MRC 1,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2,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TRC-MRC 3,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TRC-MRC 4,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TRC-MRC 5,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Centennial Founders, LLC</w:t>
            </w: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240" w:type="dxa"/>
            <w:vAlign w:val="bottom"/>
            <w:tcBorders>
              <w:top w:val="single" w:sz="8" w:color="CCEEFF"/>
              <w:bottom w:val="single" w:sz="8" w:color="CCEEFF"/>
            </w:tcBorders>
            <w:vMerge w:val="continue"/>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9"/>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0" w:right="400" w:firstLine="6"/>
        <w:spacing w:after="0" w:line="235" w:lineRule="auto"/>
        <w:tabs>
          <w:tab w:leader="none" w:pos="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$0.3 million and $0.3 million for the three months ended September 30, 2023 and September 30, 2022,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w w:val="92"/>
              </w:rPr>
              <w:t>Nine Months Ended September 30,</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Arial" w:cs="Arial" w:eastAsia="Arial" w:hAnsi="Arial"/>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Arial" w:cs="Arial" w:eastAsia="Arial" w:hAnsi="Arial"/>
                <w:sz w:val="18"/>
                <w:szCs w:val="18"/>
                <w:b w:val="1"/>
                <w:bCs w:val="1"/>
                <w:color w:val="auto"/>
              </w:rPr>
              <w:t>Earnings (Loss)</w:t>
            </w:r>
          </w:p>
        </w:tc>
        <w:tc>
          <w:tcPr>
            <w:tcW w:w="320" w:type="dxa"/>
            <w:vAlign w:val="bottom"/>
          </w:tcPr>
          <w:p>
            <w:pPr>
              <w:spacing w:after="0"/>
              <w:rPr>
                <w:sz w:val="20"/>
                <w:szCs w:val="20"/>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1"/>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120,002</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18-19 West,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TRC-MRC 1,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2,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TRC-MRC 3,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TRC-MRC 4,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TRC-MRC 5,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Centennial Founders, LLC</w:t>
            </w: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3240" w:type="dxa"/>
            <w:vAlign w:val="bottom"/>
            <w:tcBorders>
              <w:top w:val="single" w:sz="8" w:color="CCEEFF"/>
              <w:bottom w:val="single" w:sz="8" w:color="CCEEFF"/>
            </w:tcBorders>
            <w:vMerge w:val="continue"/>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9"/>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right="460" w:firstLine="6"/>
        <w:spacing w:after="0" w:line="235" w:lineRule="auto"/>
        <w:tabs>
          <w:tab w:leader="none" w:pos="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$0.9 million and $0.9 million for the nine months ended September 30, 2023 and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September 30, 2023</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Joint Venture</w:t>
            </w:r>
          </w:p>
        </w:tc>
        <w:tc>
          <w:tcPr>
            <w:tcW w:w="120" w:type="dxa"/>
            <w:vAlign w:val="bottom"/>
          </w:tcPr>
          <w:p>
            <w:pPr>
              <w:spacing w:after="0"/>
              <w:rPr>
                <w:sz w:val="19"/>
                <w:szCs w:val="19"/>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TRC</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Joint Venture</w:t>
            </w:r>
          </w:p>
        </w:tc>
        <w:tc>
          <w:tcPr>
            <w:tcW w:w="140" w:type="dxa"/>
            <w:vAlign w:val="bottom"/>
          </w:tcPr>
          <w:p>
            <w:pPr>
              <w:spacing w:after="0"/>
              <w:rPr>
                <w:sz w:val="19"/>
                <w:szCs w:val="19"/>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TRC</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Assets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Debt</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(Deficit)</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Debt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(Deficit)</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10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84,225</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25,441</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TRCC/Rock Outlet Center, LLC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57,447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35,572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59,196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(27,707)</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30,684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19,095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18,398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(22,612)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36,608</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TRC-MRC 4, LLC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50,923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(61,993)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(8,867)</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50,497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(40,130)</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5, LLC</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(25,049)</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295,390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281,611</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41,891</w:t>
            </w:r>
          </w:p>
        </w:tc>
        <w:tc>
          <w:tcPr>
            <w:tcW w:w="0" w:type="dxa"/>
            <w:vAlign w:val="bottom"/>
          </w:tcPr>
          <w:p>
            <w:pPr>
              <w:spacing w:after="0"/>
              <w:rPr>
                <w:sz w:val="1"/>
                <w:szCs w:val="1"/>
                <w:color w:val="auto"/>
              </w:rPr>
            </w:pPr>
          </w:p>
        </w:tc>
      </w:tr>
      <w:tr>
        <w:trPr>
          <w:trHeight w:val="21"/>
        </w:trPr>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Centennial Founders, LLC</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96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104,309</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103,963</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102,984</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60" w:hanging="321"/>
        <w:spacing w:after="0"/>
        <w:tabs>
          <w:tab w:leader="none" w:pos="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Centennial Founders, LLC is consolidated within the Company's financial statements.</w:t>
      </w:r>
    </w:p>
    <w:p>
      <w:pPr>
        <w:spacing w:after="0" w:line="207"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residential, and industrial development. The Company is the largest landowner and taxpayer within TCWD. The Company has a water service contract with TCWD that entitles it to receive all of TCWD’s SWP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September 30, 2023, the Company paid $4,488,000 for these water contracts and related costs.</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SUBSEQUENT EVENTS</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October 23, 2023, the Company terminated its interest rate swap agreement with Bank of America, N.A., and received a $3,715,000 cash termination fee from Bank of America, N.A.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0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OVERVIEW</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Business Objectives and Strategies</w:t>
      </w:r>
    </w:p>
    <w:p>
      <w:pPr>
        <w:spacing w:after="0" w:line="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include up to 35,278 housing units, and more than 35 million square feet of commercial space. We have obtained entitlements for MV and the first approved final map for the project consisting of 401 residential lots and parcels for hospitality, amenities, and public uses. The Grapevine at Tejon Community has approved entitlements for 12,000 units and 5 million square feet of commercial development. Centennial at Tejon Ranch, or Centennial, had entitlements approved in 2019 by the Los Angeles County Board of Supervisors. These approvals were litigated in two lawsuits filed in Los Angeles County Superior Court in May 2019 and the Company has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 See Note 12 (Commitments and Contingencies) of the Notes to Unaudited Consolidated Financial Statements for additional information regarding the Centennial litigation.</w:t>
      </w:r>
    </w:p>
    <w:p>
      <w:pPr>
        <w:spacing w:after="0" w:line="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currently executing on value creation as we are engaged in construction, commercial sales, and leasing at our fully operational commercial/industrial center, TRCC. As previously reported, we received approval from Kern County allowing for development of multi-family apartment uses within TRCC, on a 27-acre site located immediately north of the Outlets at Tejon. This authorization allows us to develop up to a maximum of 495 multi-family residences, in thirteen apartment buildings, as well as approximately 6,500 square feet of community amenity space and up to 8,000 square feet of community serving retail. All of these efforts are supported by diverse revenue streams generated from other operations, including: farming, mineral resources, ranch operations, and our various joint ventures.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6EBF"/>
        </w:rPr>
        <w:t>Our Business</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currently operate in five reporting segments: commercial/industrial real estate development; resort/residential real estate development; mineral resources; farming; and ranch operations.</w:t>
      </w:r>
    </w:p>
    <w:p>
      <w:pPr>
        <w:spacing w:after="0" w:line="4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third-parties for their own development. The commercial/industrial real estate development segment also includes activities related to the power plant lease and communications leases.</w:t>
      </w:r>
    </w:p>
    <w:p>
      <w:pPr>
        <w:spacing w:after="0" w:line="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the heart of the commercial/industrial real estate development segment is TRCC, a 20 million square foot commercial/industrial development on Interstate 5 just north of the Los Angeles basin. Over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We are also involved in multiple joint ventures within TRCC with several partners that help us expand our commercial/industrial business activities:</w:t>
      </w:r>
    </w:p>
    <w:p>
      <w:pPr>
        <w:spacing w:after="0" w:line="115" w:lineRule="exact"/>
        <w:rPr>
          <w:sz w:val="20"/>
          <w:szCs w:val="20"/>
          <w:color w:val="auto"/>
        </w:rPr>
      </w:pPr>
    </w:p>
    <w:p>
      <w:pPr>
        <w:ind w:left="660" w:right="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joint venture with Rockefeller Development Group, or Rockefeller:</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TRCC/Rock Outlet Center LLC operates the Outlets at Tejon, a net leasable 326,000 square foot shopping experience in TRCC-East.</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Five joint ventures with Majestic Realty Co., or Majestic, to develop, manage, and operate industrial buildings within TRCC:</w:t>
      </w:r>
    </w:p>
    <w:p>
      <w:pPr>
        <w:spacing w:after="0" w:line="103" w:lineRule="exact"/>
        <w:rPr>
          <w:rFonts w:ascii="Arial" w:cs="Arial" w:eastAsia="Arial" w:hAnsi="Arial"/>
          <w:sz w:val="18"/>
          <w:szCs w:val="18"/>
          <w:color w:val="auto"/>
        </w:rPr>
      </w:pPr>
    </w:p>
    <w:p>
      <w:pPr>
        <w:ind w:left="1300" w:right="38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TRC-MRC 1, LLC operates a 480,480 square foot industrial building in TRCC-East, which was completed during 2017 and is fully leased;</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TRC-MRC 2, LLC owns and operates a 651,909 square foot building in TRCC-West that is fully leased;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TRC-MRC 3, LLC operates a 579,040 square foot industrial building in TRCC-East that is fully leased;</w:t>
      </w:r>
    </w:p>
    <w:p>
      <w:pPr>
        <w:spacing w:after="0" w:line="103" w:lineRule="exact"/>
        <w:rPr>
          <w:rFonts w:ascii="Arial" w:cs="Arial" w:eastAsia="Arial" w:hAnsi="Arial"/>
          <w:sz w:val="18"/>
          <w:szCs w:val="18"/>
          <w:color w:val="auto"/>
        </w:rPr>
      </w:pPr>
    </w:p>
    <w:p>
      <w:pPr>
        <w:ind w:left="1300" w:right="42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TRC-MRC 4, LLC was formed in 2021 to pursue the development, construction, leasing and management of a 629,274 square foot industrial building in TRCC-East that is fully leased; and</w:t>
      </w:r>
    </w:p>
    <w:p>
      <w:pPr>
        <w:spacing w:after="0" w:line="35" w:lineRule="exact"/>
        <w:rPr>
          <w:rFonts w:ascii="Arial" w:cs="Arial" w:eastAsia="Arial" w:hAnsi="Arial"/>
          <w:sz w:val="18"/>
          <w:szCs w:val="18"/>
          <w:color w:val="auto"/>
        </w:rPr>
      </w:pPr>
    </w:p>
    <w:p>
      <w:pPr>
        <w:ind w:left="1300" w:right="380" w:hanging="320"/>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TRC-MRC 5 LLC was formed on March 29, 2022, to pursue the development, construction, lease-up, and management of an approximately 446,400 square foot industrial building located within TRCC-East. The project is currently under construction and is expected to be completed by the first quarter of 2024. The building is fully leased.</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resort/residential real estate development segment is actively involved in the land entitlement and development process internally and through a joint venture. Our active developments within this segment are MV, Centennial, and Grapevine.</w:t>
      </w:r>
    </w:p>
    <w:p>
      <w:pPr>
        <w:spacing w:after="0" w:line="49" w:lineRule="exact"/>
        <w:rPr>
          <w:sz w:val="20"/>
          <w:szCs w:val="20"/>
          <w:color w:val="auto"/>
        </w:rPr>
      </w:pPr>
    </w:p>
    <w:p>
      <w:pPr>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38"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12 (Commitments and Contingencies) of the Notes to Unaudited Consolidated Financial Statements for additional information related to current litigation;</w:t>
      </w:r>
    </w:p>
    <w:p>
      <w:pPr>
        <w:spacing w:after="0" w:line="50" w:lineRule="exact"/>
        <w:rPr>
          <w:rFonts w:ascii="Arial" w:cs="Arial" w:eastAsia="Arial" w:hAnsi="Arial"/>
          <w:sz w:val="17"/>
          <w:szCs w:val="17"/>
          <w:color w:val="auto"/>
        </w:rPr>
      </w:pPr>
    </w:p>
    <w:p>
      <w:pPr>
        <w:ind w:left="660" w:right="200" w:hanging="328"/>
        <w:spacing w:after="0"/>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Grapevine is an 8,010-acre development area located on the San Joaquin Valley floor area of our lands, adjacent to TRCC. Upon completion of Grapevine, the community will include 12,000 homes, 5.1 million square feet of commercial development, and more than 3,367 acres of open space and parks; and</w:t>
      </w:r>
    </w:p>
    <w:p>
      <w:pPr>
        <w:spacing w:after="0" w:line="67"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is envisioned to be a mixed-use community development similar to Grapevine at Tejon Ranch, or other development uses as appropriate based upon market conditions at the time.</w:t>
      </w:r>
    </w:p>
    <w:p>
      <w:pPr>
        <w:spacing w:after="0" w:line="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2022, for a more detailed description of our active developments within the resort/residential real estate development segment.</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28" w:name="page29"/>
    <w:bookmarkEnd w:id="28"/>
    <w:p>
      <w:pPr>
        <w:ind w:right="620"/>
        <w:spacing w:after="0" w:line="277" w:lineRule="auto"/>
        <w:rPr>
          <w:sz w:val="20"/>
          <w:szCs w:val="20"/>
          <w:color w:val="auto"/>
        </w:rPr>
      </w:pPr>
      <w:r>
        <w:rPr>
          <w:rFonts w:ascii="Arial" w:cs="Arial" w:eastAsia="Arial" w:hAnsi="Arial"/>
          <w:sz w:val="18"/>
          <w:szCs w:val="18"/>
          <w:color w:val="auto"/>
        </w:rPr>
        <w:t>Our mineral resources segment generates revenues from oil and gas royalty leases, rock and aggregate mining leases, a lease with National Cement Company of California Inc., and water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farming segment produces revenues from the sale of wine grapes, almonds, and pistachios.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Lastly, the ranch operations segment consists of game management revenues and ancillary land uses such as grazing leases and filming.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Summary of 2023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September 30, 2023, we had a net loss attributable to common stockholders of $341,000 compared to net income of</w:t>
      </w:r>
    </w:p>
    <w:p>
      <w:pPr>
        <w:spacing w:after="0" w:line="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$10,184,000 for the three months ended September 30, 2022. The primary driver of this decrease was from our commercial/industrial segment, which had a $14,247,000 decline in its operating profit over the comparative period. The decline was caused by the absence of land sales during the current period. Partially offsetting this decrease was a $4,461,000 improvement in farming segment operating results, driven by lower cost of sales and lower water costs.</w:t>
      </w:r>
    </w:p>
    <w:p>
      <w:pPr>
        <w:spacing w:after="0" w:line="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nine months ended September 30, 2023, we had net income attributable to common stockholders of $1,700,000 compared to $13,824,000 for the same period in 2022. The primary factor driving this decline was due to the absence of land sales in 2023 compared to two land sales in 2022 in our commercial/industrial segment, contributing to a $17,571,000 decrease in operating income. Another factor driving the decline was a $3,252,000 decrease in mineral resources segment operating profit, mainly attributable to limited opportunities to sell water as a result of the 100% SWP allocation. The above decreases were offset by an improvement in farming segment operating results of $5,832,000, attributable primarily to lower cost of sales and lower water costs. Also offsetting the decreases was lower income tax expense by $2,643,000 over the comparative period, resulting from lower operating income recognized for the year.</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Critical Accounting Estimates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our interim financial statements in accordance with GAAP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nine months ended September 30, 2023, our critical accounting policies have not changed since the filing of our Annual Report on Form 10-K for the year ended December 31, 2022.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006EBF"/>
        </w:rPr>
        <w:t>Results of Operations by Segment</w:t>
      </w:r>
    </w:p>
    <w:p>
      <w:pPr>
        <w:spacing w:after="0" w:line="10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Arial" w:cs="Arial" w:eastAsia="Arial" w:hAnsi="Arial"/>
                <w:sz w:val="18"/>
                <w:szCs w:val="18"/>
                <w:b w:val="1"/>
                <w:bCs w:val="1"/>
                <w:color w:val="006EBF"/>
              </w:rPr>
              <w:t>Real Estate – Commercial/Industrial:</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2880" w:type="dxa"/>
            <w:vAlign w:val="bottom"/>
            <w:tcBorders>
              <w:top w:val="single" w:sz="8" w:color="006EBF"/>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440" w:type="dxa"/>
            <w:vAlign w:val="bottom"/>
          </w:tcPr>
          <w:p>
            <w:pPr>
              <w:spacing w:after="0"/>
              <w:rPr>
                <w:sz w:val="24"/>
                <w:szCs w:val="24"/>
                <w:color w:val="auto"/>
              </w:rPr>
            </w:pPr>
          </w:p>
        </w:tc>
        <w:tc>
          <w:tcPr>
            <w:tcW w:w="1880" w:type="dxa"/>
            <w:vAlign w:val="bottom"/>
            <w:gridSpan w:val="3"/>
          </w:tcPr>
          <w:p>
            <w:pPr>
              <w:ind w:left="1060"/>
              <w:spacing w:after="0"/>
              <w:rPr>
                <w:sz w:val="20"/>
                <w:szCs w:val="20"/>
                <w:color w:val="auto"/>
              </w:rPr>
            </w:pPr>
            <w:r>
              <w:rPr>
                <w:rFonts w:ascii="Arial" w:cs="Arial" w:eastAsia="Arial" w:hAnsi="Arial"/>
                <w:sz w:val="18"/>
                <w:szCs w:val="18"/>
                <w:color w:val="auto"/>
              </w:rPr>
              <w:t>Change</w:t>
            </w:r>
          </w:p>
        </w:tc>
        <w:tc>
          <w:tcPr>
            <w:tcW w:w="1240" w:type="dxa"/>
            <w:vAlign w:val="bottom"/>
          </w:tcPr>
          <w:p>
            <w:pPr>
              <w:spacing w:after="0"/>
              <w:rPr>
                <w:sz w:val="24"/>
                <w:szCs w:val="24"/>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Commercial/industrial revenues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Pastoria Energy Facility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TRCC Leasing</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TRCC management fees and reimbursements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Commercial leases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Communication leases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Landscaping and other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Land sale</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commercial/industrial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22,352</w:t>
            </w: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(18,955)</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commercial/industrial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Operating income from commercial/industrial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1"/>
        </w:trPr>
        <w:tc>
          <w:tcPr>
            <w:tcW w:w="2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right="38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revenues were $3,397,000 for the three months ended September 30, 2023, a decrease of $18,955,000, or 85%, from $22,352,000 for the three months ended September 30, 2022. The absence of a land sale was the primary driver of this decrease.</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Commercial/industrial real estate development segment expenses were $2,137,000 for the three months ended September 30, 2023, a decrease of</w:t>
      </w:r>
    </w:p>
    <w:p>
      <w:pPr>
        <w:spacing w:after="0" w:line="46" w:lineRule="exact"/>
        <w:rPr>
          <w:rFonts w:ascii="Arial" w:cs="Arial" w:eastAsia="Arial" w:hAnsi="Arial"/>
          <w:sz w:val="16"/>
          <w:szCs w:val="16"/>
          <w:color w:val="auto"/>
        </w:rPr>
      </w:pPr>
    </w:p>
    <w:p>
      <w:pPr>
        <w:ind w:left="340" w:right="260"/>
        <w:spacing w:after="0" w:line="260" w:lineRule="auto"/>
        <w:rPr>
          <w:rFonts w:ascii="Arial" w:cs="Arial" w:eastAsia="Arial" w:hAnsi="Arial"/>
          <w:sz w:val="16"/>
          <w:szCs w:val="16"/>
          <w:color w:val="auto"/>
        </w:rPr>
      </w:pPr>
      <w:r>
        <w:rPr>
          <w:rFonts w:ascii="Arial" w:cs="Arial" w:eastAsia="Arial" w:hAnsi="Arial"/>
          <w:sz w:val="18"/>
          <w:szCs w:val="18"/>
          <w:color w:val="auto"/>
        </w:rPr>
        <w:t>$4,708,000, or 69%, from $6,845,000 for the three months ended September 30, 2022. The decrease was primarily attributable to not incurring land cost of sales due to the absence of a land sale in 2023.</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20"/>
                <w:szCs w:val="20"/>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rPr>
              <w:t>Commercial revenues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Pastoria Energy Facility</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TRCC Leasing</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TRCC management fees and reimbursements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Commercial leases</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Communication leases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Landscaping and other</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sale</w:t>
            </w:r>
          </w:p>
        </w:tc>
        <w:tc>
          <w:tcPr>
            <w:tcW w:w="1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commercial revenues</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32,163</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(23,457)</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commercial expenses</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Operating income from commercial/industrial</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4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right="20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revenues were $8,706,000 for the first nine months of 2023, a decrease of $23,457,000, or 73%, from $32,163,000 for the first nine months of 2022. As mentioned above, this decrease in revenues was primarily attributable to the absence of land sales during 2023.</w:t>
      </w:r>
    </w:p>
    <w:p>
      <w:pPr>
        <w:spacing w:after="0" w:line="62" w:lineRule="exact"/>
        <w:rPr>
          <w:rFonts w:ascii="Arial" w:cs="Arial" w:eastAsia="Arial" w:hAnsi="Arial"/>
          <w:sz w:val="18"/>
          <w:szCs w:val="18"/>
          <w:color w:val="auto"/>
        </w:rPr>
      </w:pPr>
    </w:p>
    <w:p>
      <w:pPr>
        <w:ind w:left="340" w:right="20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expenses were $5,517,000 during the first nine months of 2023, a decrease of $5,886,000, or 52%, from $11,403,000 during the first nine months of 2022. The decrease in expenses is consistent with the reduced revenues from the absence of land sales.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spacing w:after="0" w:line="272" w:lineRule="auto"/>
        <w:rPr>
          <w:sz w:val="20"/>
          <w:szCs w:val="20"/>
          <w:color w:val="auto"/>
        </w:rPr>
      </w:pPr>
      <w:r>
        <w:rPr>
          <w:rFonts w:ascii="Arial" w:cs="Arial" w:eastAsia="Arial" w:hAnsi="Arial"/>
          <w:sz w:val="17"/>
          <w:szCs w:val="17"/>
          <w:color w:val="auto"/>
        </w:rPr>
        <w:t>The logistics operators currently located within TRCC have demonstrated success in serving all of California and the western region of the United States, and we showcase their success in our marketing efforts. We expect to continue to focus our marketing strategy for TRCC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4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3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believe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spacing w:after="0" w:line="4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Demand for large distribution facilities is continuing to drive development farther east in a search for large, entitled parcels.</w:t>
      </w:r>
    </w:p>
    <w:p>
      <w:pPr>
        <w:spacing w:after="0" w:line="5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quarter ended September 30, 2023, vacancy rates in the Inland Empire climbed 100 basis points to 3.9% and net absorption rebounded due to large preleased deliveries. However, new supply continued to outpace net absorption for the seventh consecutive quarter. The average asking rent growth streak snapped, dropping by $0.10 from June 30, 2023 and $0.02 from September 30, 2022. With an increasing vacancy and another 27.4 million square feet in the construction pipeline, vacancy will continue to tick up with rents flattening out. The San Fernando Valley and Ventura County industrial markets continue to see tight conditions, as vacancy and availability sit at historically low numbers. Some vacancy was returned to the market, and the overall vacancy rate in the San Fernando Valley increased by 10 basis points to 0.9%, while in Ventura County, it decreased by 10 basis points to 1.4%. Average asking rates remained strong in the San Fernando Valley at $1.73 per square foot, whereas Ventura County saw a slight decrease to $1.20 per square foot.</w:t>
      </w:r>
    </w:p>
    <w:p>
      <w:pPr>
        <w:spacing w:after="0" w:line="1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Industrial vacancy rates are expected to remain low, and industrial users seeking larger spaces are going further north into neighboring Kern County, and particularly, TRCC, which has attracted increased attention as market conditions tightened. Additionally, TRCC is in a position to capture tenant awareness due to our ability to provide a competitive alternative for users in the Inland Empire and the Santa Clarita Valley. As an example, the Company's TRC-MRC 5 LLC joint venture with Majestic, a Los Angeles-based commercial industrial developer, formed to pursue the development, construction, lease-up, and management of an approximately 446,400 square foot industrial building located within TRCC-East. This industrial building is currently under construction with completion expected during the first quarter of 2024. A lease was secured, in advance of construction, for the entirety of this space with Sunrise Brands, a leading designer, producer, distributor, and retailer of both branded and private-label apparel, who is moving out of Los Angeles.</w:t>
      </w:r>
    </w:p>
    <w:p>
      <w:pPr>
        <w:spacing w:after="0" w:line="4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We continue to see the impact of inflation within our construction costs and expect our costs to be impacted by inflation throughout 2023 and possibly into 2024. From a macroeconomic perspective, the tightening of capital markets may cause a near-term slowdown in new commercial real estate developments.</w:t>
      </w:r>
    </w:p>
    <w:p>
      <w:pPr>
        <w:spacing w:after="0" w:line="3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6EBF"/>
        </w:rPr>
        <w:t>Real Estate – Resort/Residential: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preliminary stages of property development for this segment; hence, no revenues or profits are attributed to this segment.</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Resort/residential real estate development segment expenses were $367,000 for the three months ended September 30, 2023, a decrease of $5,000, or 1%, from $372,000 for the three months ended September 30, 2022.</w:t>
      </w:r>
    </w:p>
    <w:p>
      <w:pPr>
        <w:spacing w:after="0" w:line="3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Resort/residential real estate development segment expenses were $1,079,000 for the first nine months of 2023, a decrease of $139,000, or 11%, from $1,218,000 for the first nine months of 2022. The decrease is namely attributed to a decrease in payroll and consulting costs.</w:t>
      </w:r>
    </w:p>
    <w:p>
      <w:pPr>
        <w:spacing w:after="0" w:line="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A majority the expenditures and capital investment to be incurred within our resort/residential real estate segment are expected to continue to focus on the mixed-use master planned communities of Centennial, Grapevine, and Mountain Village.</w:t>
      </w:r>
    </w:p>
    <w:p>
      <w:pPr>
        <w:spacing w:after="0" w:line="7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 we move forward with our master planned communities,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Mineral Resources: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500" w:type="dxa"/>
            <w:vAlign w:val="bottom"/>
            <w:tcBorders>
              <w:top w:val="single" w:sz="8" w:color="006EBF"/>
            </w:tcBorders>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Mineral resources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Oil and gas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Cement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Rock aggregate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Exploration leases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Water Sales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Reimbursables and other</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mineral resources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mineral resources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from mineral resources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right="10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Mineral resources segment revenues were $3,118,000 for the three months ended September 30, 2023, a decrease of $21,000, or 1%, from $3,139,000 for the three months ended September 30, 2022. The reduction in revenues is primarily attributed to a decline in royalties recognized on cement, aggregate and oil gas sales, partially offset by an increase in water sales revenue during the period.</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Mineral resources segment expenses were $2,000,000 for the three months ended September 30, 2023, an increase of $255,000, or 15%, from</w:t>
      </w:r>
    </w:p>
    <w:p>
      <w:pPr>
        <w:spacing w:after="0" w:line="34" w:lineRule="exact"/>
        <w:rPr>
          <w:rFonts w:ascii="Arial" w:cs="Arial" w:eastAsia="Arial" w:hAnsi="Arial"/>
          <w:sz w:val="17"/>
          <w:szCs w:val="17"/>
          <w:color w:val="auto"/>
        </w:rPr>
      </w:pPr>
    </w:p>
    <w:p>
      <w:pPr>
        <w:ind w:left="340" w:right="220"/>
        <w:spacing w:after="0" w:line="260" w:lineRule="auto"/>
        <w:rPr>
          <w:rFonts w:ascii="Arial" w:cs="Arial" w:eastAsia="Arial" w:hAnsi="Arial"/>
          <w:sz w:val="17"/>
          <w:szCs w:val="17"/>
          <w:color w:val="auto"/>
        </w:rPr>
      </w:pPr>
      <w:r>
        <w:rPr>
          <w:rFonts w:ascii="Arial" w:cs="Arial" w:eastAsia="Arial" w:hAnsi="Arial"/>
          <w:sz w:val="18"/>
          <w:szCs w:val="18"/>
          <w:color w:val="auto"/>
        </w:rPr>
        <w:t>$1,745,000 for the three months ended September 30, 2022. The increase is primarily due to higher water cost of sales recognized and an increase in property tax expense when compared to the previous year.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tcPr>
          <w:p>
            <w:pPr>
              <w:ind w:left="20"/>
              <w:spacing w:after="0"/>
              <w:rPr>
                <w:sz w:val="20"/>
                <w:szCs w:val="20"/>
                <w:color w:val="auto"/>
              </w:rPr>
            </w:pPr>
            <w:r>
              <w:rPr>
                <w:rFonts w:ascii="Arial" w:cs="Arial" w:eastAsia="Arial" w:hAnsi="Arial"/>
                <w:sz w:val="18"/>
                <w:szCs w:val="18"/>
                <w:color w:val="auto"/>
              </w:rPr>
              <w:t>Mineral resources revenues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Oil and gas</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Cement</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Rock aggregate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800" w:type="dxa"/>
            <w:vAlign w:val="bottom"/>
          </w:tcPr>
          <w:p>
            <w:pPr>
              <w:ind w:left="220"/>
              <w:spacing w:after="0"/>
              <w:rPr>
                <w:sz w:val="20"/>
                <w:szCs w:val="20"/>
                <w:color w:val="auto"/>
              </w:rPr>
            </w:pPr>
            <w:r>
              <w:rPr>
                <w:rFonts w:ascii="Arial" w:cs="Arial" w:eastAsia="Arial" w:hAnsi="Arial"/>
                <w:sz w:val="18"/>
                <w:szCs w:val="18"/>
                <w:color w:val="auto"/>
              </w:rPr>
              <w:t>Exploration leases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 Sales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Reimbursables and other</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mineral resources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mineral resources expenses</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from mineral resources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right="180" w:hanging="332"/>
        <w:spacing w:after="0" w:line="259"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Mineral resources segment revenues were $11,630,000 for the first nine months of 2023, a decrease of $7,608,000, or 40%, from $19,238,000 for the first nine months of 2022. The reduction in revenues is primarily attributed to increased water availability. The SWP allocation is currently at 100%, whereas in 2022 it was at 5%, which severely limits the Company's water sales opportunities. Additionally, the Company experienced a decline in royalties due to lower production volume of cement, aggregate and oil and gas.</w:t>
      </w:r>
    </w:p>
    <w:p>
      <w:pPr>
        <w:spacing w:after="0" w:line="78" w:lineRule="exact"/>
        <w:rPr>
          <w:rFonts w:ascii="Arial" w:cs="Arial" w:eastAsia="Arial" w:hAnsi="Arial"/>
          <w:sz w:val="18"/>
          <w:szCs w:val="18"/>
          <w:color w:val="auto"/>
        </w:rPr>
      </w:pPr>
    </w:p>
    <w:p>
      <w:pPr>
        <w:jc w:val="both"/>
        <w:ind w:left="340" w:right="40" w:hanging="332"/>
        <w:spacing w:after="0" w:line="263"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Mineral resources segment expenses were $6,991,000 for the first nine months of 2023, a decrease of $4,356,000, or 38%, when compared to the same period in 2022. This decrease is consistent with the reduced water sales volume when compared to the previous year. This decrease was partially offset by an increase in property tax expense.</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anticipated changes arise in the future related to groundwater management in California, such as limits on groundwater pumping, we believe our water assets, including water banking operations, ground water recharge programs, and access to water contracts like those we have purchased in the past, will become even more important and valuable in servicing our projects and providing opportunities for water sales to third-parties.</w:t>
      </w:r>
    </w:p>
    <w:p>
      <w:pPr>
        <w:spacing w:after="0" w:line="9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Production has seen an overall decline in California as a result of regulatory conditions.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b w:val="1"/>
                <w:bCs w:val="1"/>
                <w:color w:val="006EBF"/>
              </w:rPr>
              <w:t>Farming:</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66"/>
        </w:trPr>
        <w:tc>
          <w:tcPr>
            <w:tcW w:w="740" w:type="dxa"/>
            <w:vAlign w:val="bottom"/>
            <w:tcBorders>
              <w:top w:val="single" w:sz="8" w:color="006EBF"/>
            </w:tcBorders>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80" w:type="dxa"/>
            <w:vAlign w:val="bottom"/>
          </w:tcPr>
          <w:p>
            <w:pPr>
              <w:spacing w:after="0"/>
              <w:rPr>
                <w:sz w:val="24"/>
                <w:szCs w:val="24"/>
                <w:color w:val="auto"/>
              </w:rPr>
            </w:pPr>
          </w:p>
        </w:tc>
        <w:tc>
          <w:tcPr>
            <w:tcW w:w="196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4"/>
                <w:szCs w:val="24"/>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Farming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Almonds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Pistachios</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Wine grapes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Hay</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farming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farming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loss from farming</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180" w:hanging="332"/>
        <w:spacing w:after="0" w:line="255"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Farming segment revenues were $2,642,000 for the three months ended September 30, 2023, a decrease of $2,134,000, or 45%, from $4,776,000 during the same period in 2022. The decrease is mainly caused by declines in almond and pistachio sales. The decline in almond sales is attributed to delay in harvesting the 2023 crops, which resulted in less almonds available for sale when compared to 2022 for the same three-month period. Comparatively, we sold 345,000 and 863,000 pounds of almonds during the three months ended September 30, 2023 and 2022, respectively. For pistachios, the harvest has also been delayed due to weather conditions during the year, resulting in no revenue realized on this crop for the current period.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ind w:left="340" w:right="460" w:hanging="332"/>
        <w:spacing w:after="0" w:line="311"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Farming segment expenses were $2,157,000 for the three months ended September 30, 2023, a decrease of $6,595,000, or 75%, from $8,752,000 during the same period in 2022. The decrease in expenses resulted from having fewer almond sales over the comparative periods, as well as no pistachio crop expense due to late harvest, compared to the $2,922,000 in pistachio crop expense recognized in 2022.</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Farming revenues</w:t>
            </w: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Almonds</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Pistachios</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Wine grapes</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Hay</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farming revenues</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farming expenses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Operating loss from farming</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3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100" w:hanging="332"/>
        <w:spacing w:after="0" w:line="25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Farming segment revenues were $4,852,000 for the first nine months of 2023, a decrease of $2,500,000, or 34%, from $7,352,000 during the same period in 2022. The decline is primarily driven by a decline in almond selling price, along with variations in the mix of almonds sold. During 2022, a majority of the almonds sold were of the Nonpareil and Monterey varieties, which generally sell at a higher price. In terms of units sold, the Company sold 989,000 and 1,500,000 pounds of almonds during the nine months ended September 30, 2023 and 2022, respectively. Delayed harvest for pistachios also attributed to the decline in farming revenues.</w:t>
      </w:r>
    </w:p>
    <w:p>
      <w:pPr>
        <w:spacing w:after="0" w:line="79" w:lineRule="exact"/>
        <w:rPr>
          <w:rFonts w:ascii="Arial" w:cs="Arial" w:eastAsia="Arial" w:hAnsi="Arial"/>
          <w:sz w:val="18"/>
          <w:szCs w:val="18"/>
          <w:color w:val="auto"/>
        </w:rPr>
      </w:pPr>
    </w:p>
    <w:p>
      <w:pPr>
        <w:jc w:val="both"/>
        <w:ind w:left="340" w:right="60" w:hanging="332"/>
        <w:spacing w:after="0" w:line="279"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Farming segment expenses were $5,644,000 for the first nine months of 2023, a decrease of $8,332,000, or 60%, from $13,976,000 when compared to the same period in 2022. The decline in farming expenses is primarily driven by lower almond cost of sales that resulted from lower almond sales. The late pistachio harvest delayed the timing of recognition in crop costs, which historically have commenced in the third quarter of the year. Additionally, the Company incurred less fixed water charges due to greater water availability in 2023.</w:t>
      </w:r>
    </w:p>
    <w:p>
      <w:pPr>
        <w:spacing w:after="0" w:line="29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almond, pistachio, and wine grape crop sales are highly seasonal, with most of our sales occurring during the third and fourth quarters. Each year, almonds and pistachios are sold at market prices, while grapes are sold to wineries at contracted prices. We expect that our farming operations during 2023 will continue to be impacted by higher costs of production, such as fuel costs, fertilizer costs, pest control costs, and labor costs. Higher than historically normal almond inventory levels are anticipated to have a continuing adverse effect on selling prices for the remainder of 2023. The current industry subjective estimate for the 2023 almond crop is 2.6 billion pounds, which is consistent with 2022.</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Weather conditions can also impact the number of tree and vine dormant hours, which are integral to tree and vine growth. Farmers in California have faced a series of challenges in recent years, and this wet, cool winter and spring created different obstacles after three years of drought. In addition, higher cultural and financing costs and a reduced bloom cycle with highly compromised bee flight hours created more adversity for farmers. The Company's harvest has been delayed for pistachios and almonds as a result of spring and early summer weather conditions. However, the abundant rain and snow has vastly improved the water situation while shipping logistics continue to improve.</w:t>
      </w:r>
    </w:p>
    <w:p>
      <w:pPr>
        <w:spacing w:after="0" w:line="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Ranch Operations: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7"/>
        </w:trPr>
        <w:tc>
          <w:tcPr>
            <w:tcW w:w="148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Ranch Operations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Ranch Operations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Ranch Operations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Operating (loss) income from Ranch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bl>
    <w:p>
      <w:pPr>
        <w:spacing w:after="0" w:line="4" w:lineRule="exact"/>
        <w:rPr>
          <w:sz w:val="20"/>
          <w:szCs w:val="20"/>
          <w:color w:val="auto"/>
        </w:rPr>
      </w:pPr>
    </w:p>
    <w:p>
      <w:pPr>
        <w:ind w:left="20" w:right="580" w:firstLine="6"/>
        <w:spacing w:after="0" w:line="207" w:lineRule="auto"/>
        <w:tabs>
          <w:tab w:leader="none" w:pos="113" w:val="left"/>
        </w:tabs>
        <w:numPr>
          <w:ilvl w:val="1"/>
          <w:numId w:val="25"/>
        </w:numPr>
        <w:rPr>
          <w:rFonts w:ascii="Arial" w:cs="Arial" w:eastAsia="Arial" w:hAnsi="Arial"/>
          <w:sz w:val="21"/>
          <w:szCs w:val="21"/>
          <w:color w:val="auto"/>
          <w:vertAlign w:val="superscript"/>
        </w:rPr>
      </w:pPr>
      <w:r>
        <w:rPr>
          <w:rFonts w:ascii="Arial" w:cs="Arial" w:eastAsia="Arial" w:hAnsi="Arial"/>
          <w:sz w:val="16"/>
          <w:szCs w:val="16"/>
          <w:color w:val="auto"/>
        </w:rPr>
        <w:t>Game management and other revenues consist of revenues from hunting, filming, High Desert Hunt Club (a premier upland bird hunting club), and other ancillary activities.</w:t>
      </w:r>
    </w:p>
    <w:p>
      <w:pPr>
        <w:spacing w:after="0" w:line="168" w:lineRule="exact"/>
        <w:rPr>
          <w:rFonts w:ascii="Arial" w:cs="Arial" w:eastAsia="Arial" w:hAnsi="Arial"/>
          <w:sz w:val="21"/>
          <w:szCs w:val="21"/>
          <w:color w:val="auto"/>
          <w:vertAlign w:val="superscript"/>
        </w:rPr>
      </w:pPr>
    </w:p>
    <w:p>
      <w:pPr>
        <w:ind w:left="340" w:right="80" w:hanging="332"/>
        <w:spacing w:after="0" w:line="334"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Ranch operations revenues were $1,052,000 for the three months ended September 30, 2023, a decrease of $156,000, or 13%, from $1,208,000 for the same period in 2022. The decrease is primarily attributed to lower filming location revenues, offset by higher revenues recognized for guided hunts.</w:t>
      </w:r>
    </w:p>
    <w:p>
      <w:pPr>
        <w:ind w:left="340" w:right="20" w:hanging="332"/>
        <w:spacing w:after="0" w:line="294"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Ranch operations expenses were $1,196,000 for the three months ended September 30, 2023, an increase of $53,000, or 5%, from $1,143,000 for the same period in 2022. This slight increase is attributed to an increase in insurance costs and third-party landscaping services when compared to the prior period. The increase in landscaping services will continue throughout the year as we shift to third-parties for landscaping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-1088390</wp:posOffset>
            </wp:positionV>
            <wp:extent cx="4723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Nine Months Ended 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color w:val="auto"/>
              </w:rPr>
              <w:t>Change</w:t>
            </w:r>
          </w:p>
        </w:tc>
        <w:tc>
          <w:tcPr>
            <w:tcW w:w="106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 in thousands)</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Ranch Operations revenues</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08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3"/>
                <w:szCs w:val="23"/>
                <w:color w:val="auto"/>
                <w:vertAlign w:val="superscript"/>
              </w:rPr>
              <w:t>1</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Grazing</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Ranch Operations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Ranch Operations expenses</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from Ranch Operations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4" w:lineRule="exact"/>
        <w:rPr>
          <w:sz w:val="20"/>
          <w:szCs w:val="20"/>
          <w:color w:val="auto"/>
        </w:rPr>
      </w:pPr>
    </w:p>
    <w:p>
      <w:pPr>
        <w:ind w:left="40" w:right="560" w:firstLine="6"/>
        <w:spacing w:after="0" w:line="207" w:lineRule="auto"/>
        <w:tabs>
          <w:tab w:leader="none" w:pos="133" w:val="left"/>
        </w:tabs>
        <w:numPr>
          <w:ilvl w:val="1"/>
          <w:numId w:val="26"/>
        </w:numPr>
        <w:rPr>
          <w:rFonts w:ascii="Arial" w:cs="Arial" w:eastAsia="Arial" w:hAnsi="Arial"/>
          <w:sz w:val="21"/>
          <w:szCs w:val="21"/>
          <w:color w:val="auto"/>
          <w:vertAlign w:val="superscript"/>
        </w:rPr>
      </w:pPr>
      <w:r>
        <w:rPr>
          <w:rFonts w:ascii="Arial" w:cs="Arial" w:eastAsia="Arial" w:hAnsi="Arial"/>
          <w:sz w:val="16"/>
          <w:szCs w:val="16"/>
          <w:color w:val="auto"/>
        </w:rPr>
        <w:t>Game management and other revenues consist of revenues from hunting, filming, High Desert Hunt Club (a premier upland bird hunting club), and other ancillary activities.</w:t>
      </w:r>
    </w:p>
    <w:p>
      <w:pPr>
        <w:spacing w:after="0" w:line="182" w:lineRule="exact"/>
        <w:rPr>
          <w:rFonts w:ascii="Arial" w:cs="Arial" w:eastAsia="Arial" w:hAnsi="Arial"/>
          <w:sz w:val="21"/>
          <w:szCs w:val="21"/>
          <w:color w:val="auto"/>
          <w:vertAlign w:val="superscript"/>
        </w:rPr>
      </w:pPr>
    </w:p>
    <w:p>
      <w:pPr>
        <w:ind w:left="3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Ranch operations revenues were $3,384,000 for the first nine months of 2023, an increase of $373,000, or 12%, from $3,011,000 for the same period in 2022. The increase is primarily attributed to higher grazing lease revenues.</w:t>
      </w:r>
    </w:p>
    <w:p>
      <w:pPr>
        <w:spacing w:after="0" w:line="62" w:lineRule="exact"/>
        <w:rPr>
          <w:rFonts w:ascii="Arial" w:cs="Arial" w:eastAsia="Arial" w:hAnsi="Arial"/>
          <w:sz w:val="18"/>
          <w:szCs w:val="18"/>
          <w:color w:val="auto"/>
        </w:rPr>
      </w:pPr>
    </w:p>
    <w:p>
      <w:pPr>
        <w:ind w:left="340" w:right="80" w:hanging="332"/>
        <w:spacing w:after="0" w:line="342"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Ranch operations expenses were $3,864,000 for the first nine months of 2023, an increase of $156,000, or 4%, from $3,708,000 for the same period in 2022. This slight increase is attributed to an increase in insurance costs and third-party landscaping services when compared to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-1017905</wp:posOffset>
            </wp:positionV>
            <wp:extent cx="45091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Corporate and Other: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Corporate general and administrative costs were $2,315,000 for the three months ended September 30, 2023, an increase of $685,000, or 42%, from</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$1,630,000 for the same period in 2022. The increase is primarily attributable to higher salary expense and stock compensation expense recognized during the period.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Corporate general and administrative costs were $6,824,000 for the first nine months of September 30, 2023, an increase of $594,000, or 10%, from</w:t>
      </w:r>
    </w:p>
    <w:p>
      <w:pPr>
        <w:spacing w:after="0" w:line="3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$6,230,000 for the same period in 2022. The increase in expenses relates to higher salary expense and professional accounting fees over the comparative periods.</w:t>
      </w:r>
    </w:p>
    <w:p>
      <w:pPr>
        <w:spacing w:after="0" w:line="6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Total other income was $670,000 for the three months ended September 30, 2023, an increase of $255,000 from $415,000 for the same period in 2022. This increase is primarily attributed to an increase in interest income resulting from higher interest rates over the comparative periods.</w:t>
      </w:r>
    </w:p>
    <w:p>
      <w:pPr>
        <w:spacing w:after="0" w:line="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Total other income was $2,047,000 for the nine months ended September 30, 2023, an increase of $709,000, from $1,338,000 for the same period in 2022. This increase is attributed to an increase in interest income resulting from an increase in marketable securities invested and higher interest rates over the comparative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Joint Ventures: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2"/>
        </w:trPr>
        <w:tc>
          <w:tcPr>
            <w:tcW w:w="1180" w:type="dxa"/>
            <w:vAlign w:val="bottom"/>
            <w:tcBorders>
              <w:top w:val="single" w:sz="8" w:color="006EBF"/>
            </w:tcBorders>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Equity in earnings (loss)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Petro Travel Plaza Holdings, LLC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18-19 West, LLC</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TRCC/Rock Outlet Center,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TRC-MRC 1,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545 %</w:t>
            </w: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TRC-MRC 2,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30"/>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TRC-MRC 3,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TRC-MRC 4,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3800" w:type="dxa"/>
            <w:vAlign w:val="bottom"/>
            <w:gridSpan w:val="2"/>
          </w:tcPr>
          <w:p>
            <w:pPr>
              <w:ind w:left="240"/>
              <w:spacing w:after="0"/>
              <w:rPr>
                <w:sz w:val="20"/>
                <w:szCs w:val="20"/>
                <w:color w:val="auto"/>
              </w:rPr>
            </w:pPr>
            <w:r>
              <w:rPr>
                <w:rFonts w:ascii="Arial" w:cs="Arial" w:eastAsia="Arial" w:hAnsi="Arial"/>
                <w:sz w:val="18"/>
                <w:szCs w:val="18"/>
                <w:color w:val="auto"/>
              </w:rPr>
              <w:t>TRC-MRC 5,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48"/>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 in earnings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right="2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 in earnings was $1,161,000 for the three months ended September 30, 2023, a decrease of $830,000, from $1,991,000 during the same period in 2022. The decrease is primarily attributed to lower equity in earnings realized on Petro Travel Plaza joint venture as a result of lower fuel margins as inventory costs increased. We expect margins to normalize in the fourth quarter of 2023.</w:t>
      </w:r>
    </w:p>
    <w:p>
      <w:pPr>
        <w:spacing w:after="0" w:line="8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460" w:type="dxa"/>
            <w:vAlign w:val="bottom"/>
          </w:tcPr>
          <w:p>
            <w:pPr>
              <w:spacing w:after="0"/>
              <w:rPr>
                <w:sz w:val="20"/>
                <w:szCs w:val="20"/>
                <w:color w:val="auto"/>
              </w:rPr>
            </w:pPr>
          </w:p>
        </w:tc>
        <w:tc>
          <w:tcPr>
            <w:tcW w:w="192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1260" w:type="dxa"/>
            <w:vAlign w:val="bottom"/>
          </w:tcPr>
          <w:p>
            <w:pPr>
              <w:spacing w:after="0"/>
              <w:rPr>
                <w:sz w:val="20"/>
                <w:szCs w:val="20"/>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Equity in earnings (loss)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Petro Travel Plaza Holdings, LLC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18-19 West, LLC</w:t>
            </w:r>
          </w:p>
        </w:tc>
        <w:tc>
          <w:tcPr>
            <w:tcW w:w="2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TRCC/Rock Outlet Center,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TRC-MRC 1,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TRC-MRC 2,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TRC-MRC 3,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TRC-MRC 4,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TRC-MRC 5,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 earnings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ind w:left="180"/>
        <w:spacing w:after="0"/>
        <w:rPr>
          <w:sz w:val="20"/>
          <w:szCs w:val="20"/>
          <w:color w:val="auto"/>
        </w:rPr>
      </w:pPr>
      <w:r>
        <w:rPr>
          <w:rFonts w:ascii="Arial" w:cs="Arial" w:eastAsia="Arial" w:hAnsi="Arial"/>
          <w:sz w:val="14"/>
          <w:szCs w:val="14"/>
          <w:color w:val="auto"/>
        </w:rPr>
        <w:t>*Percentage change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-92710</wp:posOffset>
            </wp:positionV>
            <wp:extent cx="45866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86605" cy="8890"/>
                    </a:xfrm>
                    <a:prstGeom prst="rect">
                      <a:avLst/>
                    </a:prstGeom>
                    <a:noFill/>
                  </pic:spPr>
                </pic:pic>
              </a:graphicData>
            </a:graphic>
          </wp:anchor>
        </w:drawing>
      </w:r>
    </w:p>
    <w:p>
      <w:pPr>
        <w:spacing w:after="0" w:line="210" w:lineRule="exact"/>
        <w:rPr>
          <w:sz w:val="20"/>
          <w:szCs w:val="20"/>
          <w:color w:val="auto"/>
        </w:rPr>
      </w:pPr>
    </w:p>
    <w:p>
      <w:pPr>
        <w:ind w:left="340" w:right="60" w:hanging="332"/>
        <w:spacing w:after="0" w:line="25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Equity in earnings was $4,616,000 for the nine months ended September 30, 2023, a decrease of $251,000, or 5%, from $4,867,000 during the same period in 2022. Petro Travel Plaza equity in earnings decreased during the year due to lower fuel margins. This decrease is partially offset by increases in equity in earnings of TRC-MRC 1, LLC and TRC-MRC 2, LLC joint ventures, mainly attributed to a combination of new leases at higher rental rates and rent escalations. Additionally, the lease within the TRC-MRC 4, LLC joint venture commenced in late 2022, bringing on a new revenue stream.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"Non-GAAP Financial Measures" for further financial discussion of the results of our joint ventures.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General Outlook</w:t>
      </w:r>
    </w:p>
    <w:p>
      <w:pPr>
        <w:spacing w:after="0" w:line="10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6" w:name="page37"/>
    <w:bookmarkEnd w:id="36"/>
    <w:p>
      <w:pPr>
        <w:jc w:val="both"/>
        <w:spacing w:after="0" w:line="301" w:lineRule="auto"/>
        <w:rPr>
          <w:sz w:val="20"/>
          <w:szCs w:val="20"/>
          <w:color w:val="auto"/>
        </w:rPr>
      </w:pPr>
      <w:r>
        <w:rPr>
          <w:rFonts w:ascii="Arial" w:cs="Arial" w:eastAsia="Arial" w:hAnsi="Arial"/>
          <w:sz w:val="16"/>
          <w:szCs w:val="16"/>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2022, or Annual Report, and to Part I, Item 1A - "Risk Factors" of our Annual Report. We continue to be involved in various legal proceedings related to leased acreage. For further discussion, please refer to Note 12 (Commitments and Contingencies) of the Notes to Unaudited Consolidated Financial Statements in this report.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2023, we had net income tax expense of $3,619,000 compared to $6,262,000 for the nine months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ended September 30, 2022. The effective tax rates approximated 68% and 31% for the nine months ended September 30, 2023 and 2022, respectively. As of September 30, 2023, income taxes payable amounted to $3,088,000. We classify interest and penalties incurred on tax payments as income tax expenses. Our effective tax rates were higher than statutory rates primarily because of permanent differences related to Section 162(m). The Section 162(m) compensation deduction limitations occurred due to changes in tax law arising from the 2017 Tax Cuts and Jobs Act.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Cash Flow and Liquidity</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6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To enhance shareholder value over the long-term, we expect to continue to make investments in our real estate segments to secure land entitlement approvals, build infrastructure for our developments,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2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cash, cash equivalents and marketable securities totaled $72,605,000 as of September 30, 2023, an increase of $42,000 from $72,563,000 as of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 activities for the nine months ended September 30,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8"/>
              </w:rPr>
              <w:t>14,750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8"/>
              </w:rPr>
              <w:t>1,868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800"/>
              <w:spacing w:after="0"/>
              <w:rPr>
                <w:sz w:val="20"/>
                <w:szCs w:val="20"/>
                <w:color w:val="auto"/>
              </w:rPr>
            </w:pPr>
            <w:r>
              <w:rPr>
                <w:rFonts w:ascii="Arial" w:cs="Arial" w:eastAsia="Arial" w:hAnsi="Arial"/>
                <w:sz w:val="18"/>
                <w:szCs w:val="18"/>
                <w:color w:val="auto"/>
                <w:w w:val="91"/>
              </w:rPr>
              <w:t>(6,805)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670"/>
              <w:spacing w:after="0"/>
              <w:rPr>
                <w:sz w:val="20"/>
                <w:szCs w:val="20"/>
                <w:color w:val="auto"/>
              </w:rPr>
            </w:pPr>
            <w:r>
              <w:rPr>
                <w:rFonts w:ascii="Arial" w:cs="Arial" w:eastAsia="Arial" w:hAnsi="Arial"/>
                <w:sz w:val="18"/>
                <w:szCs w:val="18"/>
                <w:color w:val="auto"/>
                <w:w w:val="94"/>
              </w:rPr>
              <w:t>(5,383)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1"/>
              </w:rPr>
              <w:t>(3,915)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4"/>
              </w:rPr>
              <w:t>(2,372)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first nine months of 2023, our operations provided $14,750,000 primarily as a result of distributions of earnings from unconsolidated joint ventures.</w:t>
      </w:r>
    </w:p>
    <w:p>
      <w:pPr>
        <w:spacing w:after="0" w:line="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first nine months of 2022, our operations provided $1,868,000 primarily as a result of distributions of earnings from unconsolidated joint ventures.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first nine months of 2023, investing activities used $6,805,000. We made capital expenditures, inclusive of capitalized interest and payroll (exclusive of stock compensation), of $13,513,000, which includes predevelopment activities for our master planned communities; $1,444,000 consisting of permitting efforts for MV; $907,000 consisting of permitting efforts for Grapevine; and costs related to litigation defense for Centennial of $2,123,000. At TRCC, we spent $4,492,000 on infrastructure improvements at TRCC-East. Within our farming segment, we spent $3,983,000, which includes cultural costs for orchards currently classified as under development and replacing machinery and equipment. Additionally, we used $6,070,000 to acquire water assets. We had marketable securities of $91,831,000 that matured, and we reinvested $87,272,000. We contributed $3,750,000 into our unconsolidated joint ventures during the year. Lastly, we received proceeds of $10,645,200, and $1,324,000 from joint venture distributions, and water sales, respectively.</w:t>
      </w:r>
    </w:p>
    <w:p>
      <w:pPr>
        <w:spacing w:after="0" w:line="4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first nine months of 2022, investing activities used $5,383,000. We made capital expenditures, inclusive of capitalized interest and payroll (exclusive of stock compensation), of $17,687,000, which includes predevelopment activities for our master planned communities; $2,465,000 consisting of permitting efforts for MV; $657,000 consisting of permitting efforts for Grapevine, and costs related to litigation defense for Centennial of $2,675,000. At TRCC, we spent $6,399,000 on infrastructure improvements and planning on the residential community at TRCC-East. Within our farming segment, we spent $5,046,000, which includes cultural costs for orchards not currently in production and replacing machinery and equipment.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7" w:name="page38"/>
    <w:bookmarkEnd w:id="37"/>
    <w:p>
      <w:pPr>
        <w:ind w:right="420"/>
        <w:spacing w:after="0" w:line="342" w:lineRule="auto"/>
        <w:rPr>
          <w:sz w:val="20"/>
          <w:szCs w:val="20"/>
          <w:color w:val="auto"/>
        </w:rPr>
      </w:pPr>
      <w:r>
        <w:rPr>
          <w:rFonts w:ascii="Arial" w:cs="Arial" w:eastAsia="Arial" w:hAnsi="Arial"/>
          <w:sz w:val="16"/>
          <w:szCs w:val="16"/>
          <w:color w:val="auto"/>
        </w:rPr>
        <w:t>Lastly, we used $988,000 to acquire water assets. We had marketable securities of $27,961,000 that matured and we invested $48,614,000. Lastly, we received proceeds of $3,968,000, $5,202,000, and $24,950,000, from joint venture distributions, water sales, and land sales, respectively.</w:t>
      </w:r>
    </w:p>
    <w:p>
      <w:pPr>
        <w:spacing w:after="0" w:line="2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4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estimated capital investment, inclusive of capitalized interest and payroll, for the remainder of 2023 is primarily related to our real estate projects. These estimated investments include approximately $6,298,000 of infrastructure development at TRCC-East to support continued commercial retail and industrial development and to design and construct water facilities to support future anticipated absorption. We also plan to continue to invest in cultural costs tied to new almond orchards and vineyards, and to replace farm equipment. The farm investments are part of a long-term farm management program to redevelop declining orchards and vineyards to maintain and improve future farm revenues. Lastly, we expect to invest up to $2,480,000 for land planning, litigation/appeals, federal and state agency permitting activities, and development activities at MV, Centennial, and Grapevine during the remainder of 2023.</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nine months ended September 30, 2023 and 2022, was $1,828,000 and $1,682,000, respectively, and is classified within real estate development. We also capitalized payroll costs related to development, pre-construction, and construction projects, which aggregated $1,744,000 and $1,779,000 for the nine months ended September 30, 2023 and 2022, respectively. Expenditures for repairs and maintenance are expensed as incurred.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first nine months of 2023, financing activities used $3,915,000, which was attributable to long-term debt service of $1,321,000, and tax payments on vested share grants of $2,594,000.</w:t>
      </w:r>
    </w:p>
    <w:p>
      <w:pPr>
        <w:spacing w:after="0" w:line="49"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During the first nine months of 2022, financing activities used $2,372,000, which was attributable to long-term debt service of $51,272,000, tax payments on vested share grants of $1,122,000, offset by debt issuance of $49,080,000 and proceeds from interest rate swap termination of $1,123,000.</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Based on our experience, we believe we will have adequate cash flows, cash balances, and availability on our line of credit (discussed below) over the next twelve months to fund internal operations. As we move forward with the completion of our litigation, permitting and engineering design for our master planned communities and prepare to move into the development stage, we will need to secure additional funding through the issuance of equity or secure other forms of financing such as joint ventures and possibly debt financing.</w:t>
      </w:r>
    </w:p>
    <w:p>
      <w:pPr>
        <w:spacing w:after="0" w:line="5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regularly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Capital Structure and Financial Condition</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September 30, 2023, total capitalization at book value was $529,822,000, consisting of $48,832,000 of debt and $480,990,000 of equity, resulting in a debt-to-total-capitalization ratio of approximately 9.2%.</w:t>
      </w:r>
    </w:p>
    <w:p>
      <w:pPr>
        <w:spacing w:after="0" w:line="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30, 2022, we entered into a variable rate term note, or New Term Note, and a New Revolving Line of Credit Note, or New RLC, with Bank of America, N.A, (Lender) or collectively the New Credit Facility. The New Term Loan provides a principal amount of $49,080,000 and a maturity date of June 30, 2032, which was used to pay off the existing Wells Fargo Amended Term Note. We evaluated the exchange under ASC 470 and determined that the exchange should be treated as a debt extinguishment. The amount available from the New RLC under the New Credit Facility is $40,607,000. As a subfacility under the New RLC, the Lender agrees to provide up to $10,000,000 of capacity to issue standby letters of credit. The Company currently has $4,393,000 outstanding on a standby letter of credit (see Off-Balance Sheet Arrangements section below for further discussion). We can issue an additional $5,607,000 in standby letters of credit.</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New Term Note had a $47,338,000 balance as of September 30, 2023. The interest rate per annum applicable to the New Term Loan is the daily SOFR plus a margin of 1.55 percentage points. The interest rate for the term of the New Term Note has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8" w:name="page39"/>
    <w:bookmarkEnd w:id="38"/>
    <w:p>
      <w:pPr>
        <w:ind w:right="60"/>
        <w:spacing w:after="0" w:line="259" w:lineRule="auto"/>
        <w:rPr>
          <w:sz w:val="20"/>
          <w:szCs w:val="20"/>
          <w:color w:val="auto"/>
        </w:rPr>
      </w:pPr>
      <w:r>
        <w:rPr>
          <w:rFonts w:ascii="Arial" w:cs="Arial" w:eastAsia="Arial" w:hAnsi="Arial"/>
          <w:sz w:val="18"/>
          <w:szCs w:val="18"/>
          <w:color w:val="auto"/>
        </w:rPr>
        <w:t>been fixed through the use of an interest rate swap at a rate of 4.62%. The New Term Note requires monthly amortization payments pursuant to a schedule set forth in the New Term Note, with the final outstanding principal amount due June 30, 2032. The New Credit Facility is secured by our farmland and farm assets, which include equipment, crops and crop receivables; the PEF power plant lease and lease site; and related accounts and other rights to payment and inventory.</w:t>
      </w:r>
    </w:p>
    <w:p>
      <w:pPr>
        <w:spacing w:after="0" w:line="13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New RLC had no outstanding balance as of September 30, 2023. At our option, the interest rate on this line of credit can float at a rate equal to Daily SOFR plus 1.37% or can be fixed at a rate equal to Term SOFR plus 1.37% for interest periods elected by us. During the term of the New RLC (which expires on June 30, 2027), the Company can borrow at any time and partially or wholly repay any outstanding borrowings and then reborrow, as necessary.</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future borrowings under the New RLC are expected to be used for ongoing working capital requirements and other general corporate purposes. To maintain availability of funds under the New RLC, undrawn amounts under the New RLC will accrue a commitment fee of 10 basis points per annum. Our ability to borrow additional funds in the future under the New RLC is subject to compliance with certain financial covenants and making certain representations and warranties, which are typical in this type of borrowing arrangement.</w:t>
      </w:r>
    </w:p>
    <w:p>
      <w:pPr>
        <w:spacing w:after="0" w:line="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New Credit Facility requires compliance with two financial covenants: (a) total liabilities divided by tangible net worth not greater than 0.75 to 1.0 at each quarter end; and (b) a debt service coverage ratio not less than 1.25 to 1.00 as of each quarter end on a rolling four quarter basis.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we were in compliance with all financial covenants.</w:t>
      </w:r>
    </w:p>
    <w:p>
      <w:pPr>
        <w:spacing w:after="0" w:line="10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New Credit Facility also contains customary negative covenants that limit the ability for us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4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New Credit Facility contains customary events of default, including: failure to make required payments; failure to comply with terms of the New Credit Facility; bankruptcy and insolvency. The New Credit Facility contains other customary terms and conditions, including representations and warranties, which are typical for credit facilities of this type.</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also have a $4,750,000 promissory note agreement, whose monthly principal and interest began October 1, 2013. The interest rate on this promissory note is 4.25% per annum, with principal and interest payments ending on September 1, 2028. The balance as of September 30, 2023 was $1,494,000.</w:t>
      </w:r>
    </w:p>
    <w:p>
      <w:pPr>
        <w:spacing w:after="0" w:line="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May 2022, we filed an updated shelf registration statement on Form S-3, which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Although we had a strong liquidity position at September 30, 2023 with $72,605,000 in cash and securities and $40,607,000 available on our New RLC to meet any short-term liquidity needs, we have taken steps to maximize positive cash flow in case a lack of liquidity in the economy limits our access to third-party funding by responsibly limiting cash expenditures to the extent practical. See Note 3 (Marketable Securities) and Note 7 (Line of Credit and Long-Term Debt) of the Notes to Unaudited Consolidated Financial Statements for more information.</w:t>
      </w:r>
    </w:p>
    <w:p>
      <w:pPr>
        <w:spacing w:after="0" w:line="5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 term as described earlier in the cash flow and liquidity discussions.</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006EBF"/>
        </w:rPr>
        <w:t>Contractual Cash Obligations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our contractual cash obligations and commercial commitments as of September 30, 2023, to be paid over the next five years and thereafter:</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color w:val="auto"/>
                <w:w w:val="90"/>
              </w:rPr>
              <w:t>Payments Due by Period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One Year or Less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Years 2-3</w:t>
            </w: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Years 4-5</w:t>
            </w:r>
          </w:p>
        </w:tc>
        <w:tc>
          <w:tcPr>
            <w:tcW w:w="20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8"/>
              </w:rPr>
              <w:t>Thereafter</w:t>
            </w:r>
          </w:p>
        </w:tc>
      </w:tr>
      <w:tr>
        <w:trPr>
          <w:trHeight w:val="209"/>
        </w:trPr>
        <w:tc>
          <w:tcPr>
            <w:tcW w:w="3880" w:type="dxa"/>
            <w:vAlign w:val="bottom"/>
          </w:tcPr>
          <w:p>
            <w:pPr>
              <w:ind w:left="2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Estimated water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222,358</w:t>
            </w:r>
          </w:p>
        </w:tc>
      </w:tr>
      <w:tr>
        <w:trPr>
          <w:trHeight w:val="229"/>
        </w:trPr>
        <w:tc>
          <w:tcPr>
            <w:tcW w:w="38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38,661</w:t>
            </w: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long-term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Cash contract commitments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SERP</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2,291</w:t>
            </w: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80" w:type="dxa"/>
            <w:vAlign w:val="bottom"/>
          </w:tcPr>
          <w:p>
            <w:pPr>
              <w:ind w:left="3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376,293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272,944</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above includes only those contracts that include fixed or minimum obligations. It does not include normal purchases that are made in the ordinary course of business.</w:t>
      </w:r>
    </w:p>
    <w:p>
      <w:pPr>
        <w:spacing w:after="0" w:line="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contributed $165,000 to our defined benefit plan in 2023.</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006EBF"/>
              </w:rPr>
              <w:t>Off-Balance Sheet Arrangements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8460" w:type="dxa"/>
            <w:vAlign w:val="bottom"/>
            <w:gridSpan w:val="10"/>
          </w:tcPr>
          <w:p>
            <w:pPr>
              <w:spacing w:after="0"/>
              <w:rPr>
                <w:sz w:val="20"/>
                <w:szCs w:val="20"/>
                <w:color w:val="auto"/>
              </w:rPr>
            </w:pPr>
            <w:r>
              <w:rPr>
                <w:rFonts w:ascii="Arial" w:cs="Arial" w:eastAsia="Arial" w:hAnsi="Arial"/>
                <w:sz w:val="18"/>
                <w:szCs w:val="18"/>
                <w:color w:val="auto"/>
                <w:w w:val="98"/>
              </w:rPr>
              <w:t>The following table shows contingent obligations we have with respect to certain bonds issued by the CFDs: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color w:val="auto"/>
              </w:rPr>
              <w:t>Amount of Commitment Expiration Per Period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&lt; 1 year</w:t>
            </w: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2 -3 Years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4 -5 Years</w:t>
            </w:r>
          </w:p>
        </w:tc>
        <w:tc>
          <w:tcPr>
            <w:tcW w:w="1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After 5 Years</w:t>
            </w:r>
          </w:p>
        </w:tc>
      </w:tr>
      <w:tr>
        <w:trPr>
          <w:trHeight w:val="210"/>
        </w:trPr>
        <w:tc>
          <w:tcPr>
            <w:tcW w:w="4220" w:type="dxa"/>
            <w:vAlign w:val="bottom"/>
          </w:tcPr>
          <w:p>
            <w:pPr>
              <w:ind w:left="20"/>
              <w:spacing w:after="0"/>
              <w:rPr>
                <w:sz w:val="20"/>
                <w:szCs w:val="20"/>
                <w:color w:val="auto"/>
              </w:rPr>
            </w:pPr>
            <w:r>
              <w:rPr>
                <w:rFonts w:ascii="Arial" w:cs="Arial" w:eastAsia="Arial" w:hAnsi="Arial"/>
                <w:sz w:val="18"/>
                <w:szCs w:val="18"/>
                <w:color w:val="auto"/>
              </w:rPr>
              <w:t>Other Commercial Commitments: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Standby letter of credit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Total other commercial commitments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TRPFFA is a joint powers authority formed by Kern County and TCWD to finance public infrastructure within our Kern County developments. TRPFFA created two CFDs, the West CFD and the East CFD. The West CFD has placed liens on 420 acres of our land to secure payment of special taxes related to $19,540,000 of bond debt sold by TRPFFA for TRCC-West. The East CFD has placed liens on 1,931 acres of our land to secure payments of special taxes related to $72,055,000 of bond debt sold by TRPFFA for TRCC-East. At TRCC-West, the West CFD has no additional bond debt approved for issuance. At TRCC-East, the East CFD has approximately $44,035,000 of additional bond debt authorized by TRPFFA.</w:t>
      </w:r>
    </w:p>
    <w:p>
      <w:pPr>
        <w:spacing w:after="0" w:line="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we, as the largest landowner in the CFD, fail to make our property tax payments. As development occurs within TRCC-East, there is a mechanism in the bond documents to reduce the amount of the letter of credit. As of September 30, 2023, we believe that the letter of credit will likely never be drawn upon. This letter of credit is for a two-year period and will be renewed in two-year intervals, as necessary. The annual cost related to the letter of credit is approximately $62,000. The tax assessment of each individual property sold or leased within each CFD is not determinable at this time, because it is based on the current tax rate of the property at the time of sale or at the time it is leased to a third-party. Accordingly, we were not required to recognize an obligation as of September 30, 2023.</w:t>
      </w:r>
    </w:p>
    <w:p>
      <w:pPr>
        <w:spacing w:after="0" w:line="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2023, aggregate outstanding debt of unconsolidated joint ventures was $198,977,000; $186,231,000 of this debt is subject to various degrees of guarantees ranging from 0% to 100% of the total debt outstanding, with construction loans generally being 100% guaranteed. As of September 30, 2023, only $45,973,000 of outstanding debt is subject to guarantees. Because of positive cash flow generation within the Rockefeller and Majestic joint ventures, we, as of September 30, 2023, do not expect any guarantee to be called upon. We do not provide a guarantee on the $12,746,000 of debt related to our joint venture with TA/Petro.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06EBF"/>
        </w:rPr>
        <w:t>Non-GAAP Financial Measures</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r>
      <w:tr>
        <w:trPr>
          <w:trHeight w:val="175"/>
        </w:trPr>
        <w:tc>
          <w:tcPr>
            <w:tcW w:w="4160" w:type="dxa"/>
            <w:vAlign w:val="bottom"/>
          </w:tcPr>
          <w:p>
            <w:pPr>
              <w:ind w:left="140"/>
              <w:spacing w:after="0" w:line="176" w:lineRule="exact"/>
              <w:rPr>
                <w:sz w:val="20"/>
                <w:szCs w:val="20"/>
                <w:color w:val="auto"/>
              </w:rPr>
            </w:pPr>
            <w:r>
              <w:rPr>
                <w:rFonts w:ascii="Arial" w:cs="Arial" w:eastAsia="Arial" w:hAnsi="Arial"/>
                <w:sz w:val="18"/>
                <w:szCs w:val="18"/>
                <w:color w:val="auto"/>
              </w:rPr>
              <w:t>Net (loss) income attributable to non-controlling</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(loss) income attributable to common stockholders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Interest, net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176"/>
        </w:trPr>
        <w:tc>
          <w:tcPr>
            <w:tcW w:w="4160" w:type="dxa"/>
            <w:vAlign w:val="bottom"/>
          </w:tcPr>
          <w:p>
            <w:pPr>
              <w:ind w:left="140"/>
              <w:spacing w:after="0" w:line="176" w:lineRule="exact"/>
              <w:rPr>
                <w:sz w:val="20"/>
                <w:szCs w:val="20"/>
                <w:color w:val="auto"/>
              </w:rPr>
            </w:pPr>
            <w:r>
              <w:rPr>
                <w:rFonts w:ascii="Arial" w:cs="Arial" w:eastAsia="Arial" w:hAnsi="Arial"/>
                <w:sz w:val="18"/>
                <w:szCs w:val="18"/>
                <w:color w:val="auto"/>
                <w:w w:val="98"/>
              </w:rPr>
              <w:t>Our share of interest expense from unconsolidated</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joint ventures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6,262</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3,342</w:t>
            </w:r>
          </w:p>
        </w:tc>
      </w:tr>
      <w:tr>
        <w:trPr>
          <w:trHeight w:val="175"/>
        </w:trPr>
        <w:tc>
          <w:tcPr>
            <w:tcW w:w="4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Our share of depreciation and amortization from</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unconsolidated joint ventures</w:t>
            </w:r>
          </w:p>
        </w:tc>
        <w:tc>
          <w:tcPr>
            <w:tcW w:w="2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compensation expense</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8"/>
                <w:szCs w:val="18"/>
                <w:color w:val="auto"/>
                <w:w w:val="95"/>
              </w:rPr>
              <w:t>Three Months Ended September 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color w:val="auto"/>
                <w:w w:val="95"/>
              </w:rPr>
              <w:t>Nine Months Ended September 30,</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Revenues</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3,397</w:t>
            </w:r>
          </w:p>
        </w:tc>
        <w:tc>
          <w:tcPr>
            <w:tcW w:w="60" w:type="dxa"/>
            <w:vAlign w:val="bottom"/>
          </w:tcPr>
          <w:p>
            <w:pPr>
              <w:spacing w:after="0"/>
              <w:rPr>
                <w:sz w:val="19"/>
                <w:szCs w:val="19"/>
                <w:color w:val="auto"/>
              </w:rPr>
            </w:pP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22,352</w:t>
            </w:r>
          </w:p>
        </w:tc>
        <w:tc>
          <w:tcPr>
            <w:tcW w:w="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32,163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Commercial/Industrial operating income</w:t>
            </w:r>
          </w:p>
        </w:tc>
        <w:tc>
          <w:tcPr>
            <w:tcW w:w="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20,760</w:t>
            </w:r>
          </w:p>
        </w:tc>
        <w:tc>
          <w:tcPr>
            <w:tcW w:w="20" w:type="dxa"/>
            <w:vAlign w:val="bottom"/>
          </w:tcPr>
          <w:p>
            <w:pPr>
              <w:spacing w:after="0"/>
              <w:rPr>
                <w:sz w:val="19"/>
                <w:szCs w:val="19"/>
                <w:color w:val="auto"/>
              </w:rPr>
            </w:pPr>
          </w:p>
        </w:tc>
      </w:tr>
      <w:tr>
        <w:trPr>
          <w:trHeight w:val="188"/>
        </w:trPr>
        <w:tc>
          <w:tcPr>
            <w:tcW w:w="4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Plus: Commercial/Industrial depreciation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0" w:type="dxa"/>
            <w:vAlign w:val="bottom"/>
          </w:tcPr>
          <w:p>
            <w:pPr>
              <w:spacing w:after="0"/>
              <w:rPr>
                <w:sz w:val="20"/>
                <w:szCs w:val="20"/>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0"/>
                <w:szCs w:val="20"/>
                <w:color w:val="auto"/>
              </w:rPr>
            </w:pPr>
          </w:p>
        </w:tc>
      </w:tr>
      <w:tr>
        <w:trPr>
          <w:trHeight w:val="188"/>
        </w:trPr>
        <w:tc>
          <w:tcPr>
            <w:tcW w:w="4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Arial" w:cs="Arial" w:eastAsia="Arial" w:hAnsi="Arial"/>
                <w:sz w:val="18"/>
                <w:szCs w:val="18"/>
                <w:color w:val="auto"/>
                <w:w w:val="94"/>
              </w:rPr>
              <w:t>Plus: General, administrative, cost of sales and other</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10,750</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Other revenues including land sales</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w w:val="97"/>
              </w:rPr>
              <w:t>Total Commercial/Industrial net operating income</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2,097</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5,457</w:t>
            </w:r>
          </w:p>
        </w:tc>
        <w:tc>
          <w:tcPr>
            <w:tcW w:w="20" w:type="dxa"/>
            <w:vAlign w:val="bottom"/>
          </w:tcPr>
          <w:p>
            <w:pPr>
              <w:spacing w:after="0"/>
              <w:rPr>
                <w:sz w:val="19"/>
                <w:szCs w:val="19"/>
                <w:color w:val="auto"/>
              </w:rPr>
            </w:pPr>
          </w:p>
        </w:tc>
      </w:tr>
      <w:tr>
        <w:trPr>
          <w:trHeight w:val="20"/>
        </w:trPr>
        <w:tc>
          <w:tcPr>
            <w:tcW w:w="4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7"/>
          </w:tcPr>
          <w:p>
            <w:pPr>
              <w:jc w:val="right"/>
              <w:ind w:right="520"/>
              <w:spacing w:after="0"/>
              <w:rPr>
                <w:sz w:val="20"/>
                <w:szCs w:val="20"/>
                <w:color w:val="auto"/>
              </w:rPr>
            </w:pPr>
            <w:r>
              <w:rPr>
                <w:rFonts w:ascii="Arial" w:cs="Arial" w:eastAsia="Arial" w:hAnsi="Arial"/>
                <w:sz w:val="18"/>
                <w:szCs w:val="18"/>
                <w:color w:val="auto"/>
                <w:w w:val="93"/>
              </w:rPr>
              <w:t>Three Months Ended September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5"/>
          </w:tcPr>
          <w:p>
            <w:pPr>
              <w:jc w:val="right"/>
              <w:ind w:right="330"/>
              <w:spacing w:after="0"/>
              <w:rPr>
                <w:sz w:val="20"/>
                <w:szCs w:val="20"/>
                <w:color w:val="auto"/>
              </w:rPr>
            </w:pPr>
            <w:r>
              <w:rPr>
                <w:rFonts w:ascii="Arial" w:cs="Arial" w:eastAsia="Arial" w:hAnsi="Arial"/>
                <w:sz w:val="18"/>
                <w:szCs w:val="18"/>
                <w:color w:val="auto"/>
                <w:w w:val="94"/>
              </w:rPr>
              <w:t>Nine Months Ended September 30,</w:t>
            </w:r>
          </w:p>
        </w:tc>
        <w:tc>
          <w:tcPr>
            <w:tcW w:w="20" w:type="dxa"/>
            <w:vAlign w:val="bottom"/>
          </w:tcPr>
          <w:p>
            <w:pPr>
              <w:spacing w:after="0"/>
              <w:rPr>
                <w:sz w:val="24"/>
                <w:szCs w:val="24"/>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operating income</w:t>
            </w: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Pastoria Energy Facility</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 w:type="dxa"/>
            <w:vAlign w:val="bottom"/>
            <w:shd w:val="clear" w:color="auto" w:fill="CCEEFF"/>
          </w:tcPr>
          <w:p>
            <w:pPr>
              <w:spacing w:after="0"/>
              <w:rPr>
                <w:sz w:val="19"/>
                <w:szCs w:val="19"/>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TRCC</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 leases</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shd w:val="clear" w:color="auto" w:fill="CCEEFF"/>
          </w:tcPr>
          <w:p>
            <w:pPr>
              <w:spacing w:after="0"/>
              <w:rPr>
                <w:sz w:val="19"/>
                <w:szCs w:val="19"/>
                <w:color w:val="auto"/>
              </w:rPr>
            </w:pPr>
          </w:p>
        </w:tc>
      </w:tr>
      <w:tr>
        <w:trPr>
          <w:trHeight w:val="229"/>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commercial leases</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0" w:type="dxa"/>
            <w:vAlign w:val="bottom"/>
            <w:tcBorders>
              <w:bottom w:val="single" w:sz="8" w:color="auto"/>
            </w:tcBorders>
          </w:tcPr>
          <w:p>
            <w:pPr>
              <w:spacing w:after="0"/>
              <w:rPr>
                <w:sz w:val="19"/>
                <w:szCs w:val="19"/>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Total Commercial/Industrial net operating income</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60" w:type="dxa"/>
            <w:vAlign w:val="bottom"/>
            <w:gridSpan w:val="4"/>
          </w:tcPr>
          <w:p>
            <w:pPr>
              <w:jc w:val="right"/>
              <w:ind w:right="370"/>
              <w:spacing w:after="0"/>
              <w:rPr>
                <w:sz w:val="20"/>
                <w:szCs w:val="20"/>
                <w:color w:val="auto"/>
              </w:rPr>
            </w:pPr>
            <w:r>
              <w:rPr>
                <w:rFonts w:ascii="Arial" w:cs="Arial" w:eastAsia="Arial" w:hAnsi="Arial"/>
                <w:sz w:val="18"/>
                <w:szCs w:val="18"/>
                <w:color w:val="auto"/>
                <w:w w:val="95"/>
              </w:rPr>
              <w:t>Nine Months Ended September 30,</w:t>
            </w: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of unconsolidated joint ventures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8"/>
              </w:rPr>
              <w:t>1,975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of unconsolidated joint ventures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8"/>
              </w:rPr>
              <w:t>2,389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of unconsolidated joint ventures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8"/>
              </w:rPr>
              <w:t>4,364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r>
      <w:tr>
        <w:trPr>
          <w:trHeight w:val="188"/>
        </w:trPr>
        <w:tc>
          <w:tcPr>
            <w:tcW w:w="4200" w:type="dxa"/>
            <w:vAlign w:val="bottom"/>
          </w:tcPr>
          <w:p>
            <w:pPr>
              <w:ind w:left="20"/>
              <w:spacing w:after="0" w:line="189" w:lineRule="exact"/>
              <w:rPr>
                <w:sz w:val="20"/>
                <w:szCs w:val="20"/>
                <w:color w:val="auto"/>
              </w:rPr>
            </w:pPr>
            <w:r>
              <w:rPr>
                <w:rFonts w:ascii="Arial" w:cs="Arial" w:eastAsia="Arial" w:hAnsi="Arial"/>
                <w:sz w:val="18"/>
                <w:szCs w:val="18"/>
                <w:color w:val="auto"/>
                <w:w w:val="98"/>
              </w:rPr>
              <w:t>Depreciation and amortization of unconsolidated joint</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ventures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8"/>
              </w:rPr>
              <w:t>2,620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w:t>
            </w: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operating income of unconsolidated joint ventures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8"/>
              </w:rPr>
              <w:t>6,984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center"/>
              <w:ind w:left="790"/>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Risks</w:t>
      </w:r>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3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primary objective of our investment activities is to preserve capital,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1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New RLC had no outstanding balance as of September 30, 2023. At our option, the interest rate on this line of credit can float at a rate equal to Daily SOFR plus 1.37% or can be fixed at a rate equal to Term SOFR plus 1.37% above Term SOFR for interest periods elected by us. During the term of the New RLC (which expires on June 30, 2027), we can borrow at any time and partially or wholly repay any outstanding borrowings and then re-borrow, as necessary.</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exposed to interest rate risk on our long-term debt. Long-term debt consists of two term loans, one of which had a balance of $47,338,000 as of September 30, 2023 and is tied to the daily SOFR plus a margin of 1.55 percentage points. The interest rate for the term of the New Term Note has been fixed through the use of an interest rate swap at a rate of 4.62%. The outstanding balance on the second term loan as of September 30, 2023 was $1,494,000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 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percentage data)</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Thereafter</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940" w:type="dxa"/>
            <w:vAlign w:val="bottom"/>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$15,941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$13,594</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$29,535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$29,456</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Arial" w:cs="Arial" w:eastAsia="Arial" w:hAnsi="Arial"/>
                <w:sz w:val="18"/>
                <w:szCs w:val="18"/>
                <w:color w:val="auto"/>
              </w:rPr>
              <w:t>Weighted average interest rate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4.87%</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5.02%</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4.94%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Long-term debt ($4.75M note)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$67</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$277</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$289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$302</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$244</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$1,494</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$1,494</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Long-term debt ($49.1M note)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$389</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$1,589</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$1,669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$1,753</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$1,840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$40,098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$47,338</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$47,338</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center"/>
        <w:ind w:right="-99"/>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At December 31, 2022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percentage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Thereafter</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104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9"/>
        </w:trPr>
        <w:tc>
          <w:tcPr>
            <w:tcW w:w="288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$32,652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$33,652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$33,444</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Weighted average interest rate</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2.82%</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5.20%</w:t>
            </w:r>
          </w:p>
        </w:tc>
        <w:tc>
          <w:tcPr>
            <w:tcW w:w="10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2.89%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Long-term debt ($4.75M note)</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$265</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$277</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$289</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$302</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$315</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$244</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$1,692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$1,692</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Long-term debt ($49.1M note)</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$1,513</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$1,589</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$1,669</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$1,753</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$1,840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$40,098</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$48,462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$48,462</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Exposure</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 As of the date of this report, there are no receivables that are subject to commodity price fluctuations given that there were no pistachio yields in 2022.</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6EBF"/>
        </w:rPr>
        <w:t>ITEM 4. CONTROLS AND PROCEDURES</w:t>
      </w:r>
    </w:p>
    <w:p>
      <w:pPr>
        <w:spacing w:after="0" w:line="121"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58" w:lineRule="exact"/>
        <w:rPr>
          <w:sz w:val="20"/>
          <w:szCs w:val="20"/>
          <w:color w:val="auto"/>
        </w:rPr>
      </w:pPr>
    </w:p>
    <w:p>
      <w:pPr>
        <w:ind w:left="560" w:hanging="552"/>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12 (Commitments and Contingencies) in the Notes to Unaudited Consolidated Financial Statements in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1A. 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previously disclosed in Part I, Item 1A in our most recent Annual Report on Form 10-K.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3. 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5. Other Information</w:t>
      </w:r>
    </w:p>
    <w:p>
      <w:pPr>
        <w:spacing w:after="0" w:line="27"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w:t>
      </w:r>
    </w:p>
    <w:p>
      <w:pPr>
        <w:spacing w:after="0" w:line="89"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6EBF"/>
            </w:tcBorders>
            <w:gridSpan w:val="2"/>
          </w:tcPr>
          <w:p>
            <w:pPr>
              <w:spacing w:after="0"/>
              <w:rPr>
                <w:sz w:val="20"/>
                <w:szCs w:val="20"/>
                <w:color w:val="auto"/>
              </w:rPr>
            </w:pPr>
            <w:r>
              <w:rPr>
                <w:rFonts w:ascii="Arial" w:cs="Arial" w:eastAsia="Arial" w:hAnsi="Arial"/>
                <w:sz w:val="18"/>
                <w:szCs w:val="18"/>
                <w:b w:val="1"/>
                <w:bCs w:val="1"/>
                <w:color w:val="006EBF"/>
                <w:w w:val="92"/>
              </w:rPr>
              <w:t>Item 6. Exhibits:</w:t>
            </w:r>
          </w:p>
        </w:tc>
        <w:tc>
          <w:tcPr>
            <w:tcW w:w="86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9"/>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3.1</w:t>
            </w:r>
          </w:p>
        </w:tc>
        <w:tc>
          <w:tcPr>
            <w:tcW w:w="8760" w:type="dxa"/>
            <w:vAlign w:val="bottom"/>
            <w:gridSpan w:val="2"/>
          </w:tcPr>
          <w:p>
            <w:pPr>
              <w:ind w:left="80"/>
              <w:spacing w:after="0"/>
              <w:rPr>
                <w:rFonts w:ascii="Arial" w:cs="Arial" w:eastAsia="Arial" w:hAnsi="Arial"/>
                <w:sz w:val="18"/>
                <w:szCs w:val="18"/>
                <w:color w:val="auto"/>
              </w:rPr>
            </w:pPr>
            <w:hyperlink r:id="rId66">
              <w:r>
                <w:rPr>
                  <w:rFonts w:ascii="Arial" w:cs="Arial" w:eastAsia="Arial" w:hAnsi="Arial"/>
                  <w:sz w:val="18"/>
                  <w:szCs w:val="18"/>
                  <w:color w:val="auto"/>
                </w:rPr>
                <w:t>Restated Certificate of Incorporation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w:t>
            </w:r>
          </w:p>
        </w:tc>
      </w:tr>
      <w:tr>
        <w:trPr>
          <w:trHeight w:val="230"/>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8760" w:type="dxa"/>
            <w:vAlign w:val="bottom"/>
            <w:gridSpan w:val="2"/>
          </w:tcPr>
          <w:p>
            <w:pPr>
              <w:ind w:left="80"/>
              <w:spacing w:after="0"/>
              <w:rPr>
                <w:rFonts w:ascii="Arial" w:cs="Arial" w:eastAsia="Arial" w:hAnsi="Arial"/>
                <w:sz w:val="18"/>
                <w:szCs w:val="18"/>
                <w:color w:val="auto"/>
              </w:rPr>
            </w:pPr>
            <w:hyperlink r:id="rId67">
              <w:r>
                <w:rPr>
                  <w:rFonts w:ascii="Arial" w:cs="Arial" w:eastAsia="Arial" w:hAnsi="Arial"/>
                  <w:sz w:val="18"/>
                  <w:szCs w:val="18"/>
                  <w:color w:val="auto"/>
                </w:rPr>
                <w:t>Amended and Restated Bylaws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w:t>
            </w:r>
          </w:p>
        </w:tc>
      </w:tr>
      <w:tr>
        <w:trPr>
          <w:trHeight w:val="230"/>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8760" w:type="dxa"/>
            <w:vAlign w:val="bottom"/>
            <w:gridSpan w:val="2"/>
          </w:tcPr>
          <w:p>
            <w:pPr>
              <w:ind w:left="80"/>
              <w:spacing w:after="0"/>
              <w:rPr>
                <w:rFonts w:ascii="Arial" w:cs="Arial" w:eastAsia="Arial" w:hAnsi="Arial"/>
                <w:sz w:val="18"/>
                <w:szCs w:val="18"/>
                <w:color w:val="auto"/>
              </w:rPr>
            </w:pPr>
            <w:hyperlink r:id="rId68">
              <w:r>
                <w:rPr>
                  <w:rFonts w:ascii="Arial" w:cs="Arial" w:eastAsia="Arial" w:hAnsi="Arial"/>
                  <w:sz w:val="18"/>
                  <w:szCs w:val="18"/>
                  <w:color w:val="auto"/>
                </w:rPr>
                <w:t>Registration and Reimbursement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5</w:t>
            </w:r>
          </w:p>
        </w:tc>
      </w:tr>
      <w:tr>
        <w:trPr>
          <w:trHeight w:val="230"/>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4.5</w:t>
            </w:r>
          </w:p>
        </w:tc>
        <w:tc>
          <w:tcPr>
            <w:tcW w:w="8760" w:type="dxa"/>
            <w:vAlign w:val="bottom"/>
            <w:gridSpan w:val="2"/>
          </w:tcPr>
          <w:p>
            <w:pPr>
              <w:ind w:left="80"/>
              <w:spacing w:after="0"/>
              <w:rPr>
                <w:rFonts w:ascii="Arial" w:cs="Arial" w:eastAsia="Arial" w:hAnsi="Arial"/>
                <w:sz w:val="18"/>
                <w:szCs w:val="18"/>
                <w:color w:val="auto"/>
              </w:rPr>
            </w:pPr>
            <w:hyperlink r:id="rId69">
              <w:r>
                <w:rPr>
                  <w:rFonts w:ascii="Arial" w:cs="Arial" w:eastAsia="Arial" w:hAnsi="Arial"/>
                  <w:sz w:val="18"/>
                  <w:szCs w:val="18"/>
                  <w:color w:val="auto"/>
                </w:rPr>
                <w:t>Form of Indenture for Debt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37</w:t>
            </w:r>
          </w:p>
        </w:tc>
      </w:tr>
      <w:tr>
        <w:trPr>
          <w:trHeight w:val="189"/>
        </w:trPr>
        <w:tc>
          <w:tcPr>
            <w:tcW w:w="11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10.1</w:t>
            </w:r>
          </w:p>
        </w:tc>
        <w:tc>
          <w:tcPr>
            <w:tcW w:w="876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Water Service Contract with Wheeler Ridge-Maricopa Water Storage District (without exhibits), amendments</w:t>
            </w:r>
          </w:p>
        </w:tc>
        <w:tc>
          <w:tcPr>
            <w:tcW w:w="130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760" w:type="dxa"/>
            <w:vAlign w:val="bottom"/>
            <w:gridSpan w:val="2"/>
          </w:tcPr>
          <w:p>
            <w:pPr>
              <w:ind w:left="80"/>
              <w:spacing w:after="0"/>
              <w:rPr>
                <w:sz w:val="20"/>
                <w:szCs w:val="20"/>
                <w:color w:val="auto"/>
              </w:rPr>
            </w:pPr>
            <w:r>
              <w:rPr>
                <w:rFonts w:ascii="Arial" w:cs="Arial" w:eastAsia="Arial" w:hAnsi="Arial"/>
                <w:sz w:val="18"/>
                <w:szCs w:val="18"/>
                <w:color w:val="auto"/>
              </w:rPr>
              <w:t>originally filed under Item 11 to Registrant's Annual Report on Form 10-K</w:t>
            </w:r>
          </w:p>
        </w:tc>
        <w:tc>
          <w:tcPr>
            <w:tcW w:w="1300" w:type="dxa"/>
            <w:vAlign w:val="bottom"/>
          </w:tcPr>
          <w:p>
            <w:pPr>
              <w:jc w:val="right"/>
              <w:spacing w:after="0"/>
              <w:rPr>
                <w:sz w:val="20"/>
                <w:szCs w:val="20"/>
                <w:color w:val="auto"/>
              </w:rPr>
            </w:pPr>
            <w:r>
              <w:rPr>
                <w:rFonts w:ascii="Arial" w:cs="Arial" w:eastAsia="Arial" w:hAnsi="Arial"/>
                <w:sz w:val="18"/>
                <w:szCs w:val="18"/>
                <w:color w:val="auto"/>
              </w:rPr>
              <w:t>FN 6</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8760" w:type="dxa"/>
            <w:vAlign w:val="bottom"/>
            <w:gridSpan w:val="2"/>
          </w:tcPr>
          <w:p>
            <w:pPr>
              <w:ind w:left="80"/>
              <w:spacing w:after="0"/>
              <w:rPr>
                <w:rFonts w:ascii="Arial" w:cs="Arial" w:eastAsia="Arial" w:hAnsi="Arial"/>
                <w:sz w:val="18"/>
                <w:szCs w:val="18"/>
                <w:color w:val="auto"/>
              </w:rPr>
            </w:pPr>
            <w:hyperlink r:id="rId70">
              <w:r>
                <w:rPr>
                  <w:rFonts w:ascii="Arial" w:cs="Arial" w:eastAsia="Arial" w:hAnsi="Arial"/>
                  <w:sz w:val="18"/>
                  <w:szCs w:val="18"/>
                  <w:color w:val="auto"/>
                </w:rPr>
                <w:t>*Severance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8760" w:type="dxa"/>
            <w:vAlign w:val="bottom"/>
            <w:gridSpan w:val="2"/>
          </w:tcPr>
          <w:p>
            <w:pPr>
              <w:ind w:left="80"/>
              <w:spacing w:after="0"/>
              <w:rPr>
                <w:rFonts w:ascii="Arial" w:cs="Arial" w:eastAsia="Arial" w:hAnsi="Arial"/>
                <w:sz w:val="18"/>
                <w:szCs w:val="18"/>
                <w:color w:val="auto"/>
              </w:rPr>
            </w:pPr>
            <w:hyperlink r:id="rId70">
              <w:r>
                <w:rPr>
                  <w:rFonts w:ascii="Arial" w:cs="Arial" w:eastAsia="Arial" w:hAnsi="Arial"/>
                  <w:sz w:val="18"/>
                  <w:szCs w:val="18"/>
                  <w:color w:val="auto"/>
                </w:rPr>
                <w:t>*Director Compensation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10.9</w:t>
            </w:r>
          </w:p>
        </w:tc>
        <w:tc>
          <w:tcPr>
            <w:tcW w:w="8760" w:type="dxa"/>
            <w:vAlign w:val="bottom"/>
            <w:gridSpan w:val="2"/>
          </w:tcPr>
          <w:p>
            <w:pPr>
              <w:ind w:left="80"/>
              <w:spacing w:after="0"/>
              <w:rPr>
                <w:rFonts w:ascii="Arial" w:cs="Arial" w:eastAsia="Arial" w:hAnsi="Arial"/>
                <w:sz w:val="18"/>
                <w:szCs w:val="18"/>
                <w:color w:val="auto"/>
              </w:rPr>
            </w:pPr>
            <w:hyperlink r:id="rId71">
              <w:r>
                <w:rPr>
                  <w:rFonts w:ascii="Arial" w:cs="Arial" w:eastAsia="Arial" w:hAnsi="Arial"/>
                  <w:sz w:val="18"/>
                  <w:szCs w:val="18"/>
                  <w:color w:val="auto"/>
                </w:rPr>
                <w:t>*Amended and Restated Non-Employee Director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8</w:t>
            </w:r>
          </w:p>
        </w:tc>
      </w:tr>
      <w:tr>
        <w:trPr>
          <w:trHeight w:val="35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8760" w:type="dxa"/>
            <w:vAlign w:val="bottom"/>
            <w:gridSpan w:val="2"/>
          </w:tcPr>
          <w:p>
            <w:pPr>
              <w:ind w:left="80"/>
              <w:spacing w:after="0"/>
              <w:rPr>
                <w:rFonts w:ascii="Arial" w:cs="Arial" w:eastAsia="Arial" w:hAnsi="Arial"/>
                <w:sz w:val="18"/>
                <w:szCs w:val="18"/>
                <w:color w:val="auto"/>
              </w:rPr>
            </w:pPr>
            <w:hyperlink r:id="rId70">
              <w:r>
                <w:rPr>
                  <w:rFonts w:ascii="Arial" w:cs="Arial" w:eastAsia="Arial" w:hAnsi="Arial"/>
                  <w:sz w:val="18"/>
                  <w:szCs w:val="18"/>
                  <w:color w:val="auto"/>
                </w:rPr>
                <w:t>*Stock Option Agreement Pursuant to the Non-Employee Director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10.10</w:t>
            </w:r>
          </w:p>
        </w:tc>
        <w:tc>
          <w:tcPr>
            <w:tcW w:w="8760" w:type="dxa"/>
            <w:vAlign w:val="bottom"/>
            <w:gridSpan w:val="2"/>
          </w:tcPr>
          <w:p>
            <w:pPr>
              <w:ind w:left="80"/>
              <w:spacing w:after="0"/>
              <w:rPr>
                <w:rFonts w:ascii="Arial" w:cs="Arial" w:eastAsia="Arial" w:hAnsi="Arial"/>
                <w:sz w:val="18"/>
                <w:szCs w:val="18"/>
                <w:color w:val="auto"/>
              </w:rPr>
            </w:pPr>
            <w:hyperlink r:id="rId72">
              <w:r>
                <w:rPr>
                  <w:rFonts w:ascii="Arial" w:cs="Arial" w:eastAsia="Arial" w:hAnsi="Arial"/>
                  <w:sz w:val="18"/>
                  <w:szCs w:val="18"/>
                  <w:color w:val="auto"/>
                </w:rPr>
                <w:t>*Amended and Restated 1998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9</w:t>
            </w:r>
          </w:p>
        </w:tc>
      </w:tr>
      <w:tr>
        <w:trPr>
          <w:trHeight w:val="23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10.10(1)</w:t>
            </w:r>
          </w:p>
        </w:tc>
        <w:tc>
          <w:tcPr>
            <w:tcW w:w="8760" w:type="dxa"/>
            <w:vAlign w:val="bottom"/>
            <w:gridSpan w:val="2"/>
          </w:tcPr>
          <w:p>
            <w:pPr>
              <w:ind w:left="80"/>
              <w:spacing w:after="0"/>
              <w:rPr>
                <w:rFonts w:ascii="Arial" w:cs="Arial" w:eastAsia="Arial" w:hAnsi="Arial"/>
                <w:sz w:val="18"/>
                <w:szCs w:val="18"/>
                <w:color w:val="auto"/>
              </w:rPr>
            </w:pPr>
            <w:hyperlink r:id="rId70">
              <w:r>
                <w:rPr>
                  <w:rFonts w:ascii="Arial" w:cs="Arial" w:eastAsia="Arial" w:hAnsi="Arial"/>
                  <w:sz w:val="18"/>
                  <w:szCs w:val="18"/>
                  <w:color w:val="auto"/>
                </w:rPr>
                <w:t>*Stock Option Agreement Pursuant to the 1998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10.12</w:t>
            </w:r>
          </w:p>
        </w:tc>
        <w:tc>
          <w:tcPr>
            <w:tcW w:w="8760" w:type="dxa"/>
            <w:vAlign w:val="bottom"/>
            <w:gridSpan w:val="2"/>
          </w:tcPr>
          <w:p>
            <w:pPr>
              <w:ind w:left="80"/>
              <w:spacing w:after="0"/>
              <w:rPr>
                <w:rFonts w:ascii="Arial" w:cs="Arial" w:eastAsia="Arial" w:hAnsi="Arial"/>
                <w:sz w:val="18"/>
                <w:szCs w:val="18"/>
                <w:color w:val="auto"/>
              </w:rPr>
            </w:pPr>
            <w:hyperlink r:id="rId73">
              <w:r>
                <w:rPr>
                  <w:rFonts w:ascii="Arial" w:cs="Arial" w:eastAsia="Arial" w:hAnsi="Arial"/>
                  <w:sz w:val="18"/>
                  <w:szCs w:val="18"/>
                  <w:color w:val="auto"/>
                </w:rPr>
                <w:t>Ground Lease with Pastoria Energy Facility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10</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10.15</w:t>
            </w:r>
          </w:p>
        </w:tc>
        <w:tc>
          <w:tcPr>
            <w:tcW w:w="8760" w:type="dxa"/>
            <w:vAlign w:val="bottom"/>
            <w:gridSpan w:val="2"/>
          </w:tcPr>
          <w:p>
            <w:pPr>
              <w:ind w:left="80"/>
              <w:spacing w:after="0"/>
              <w:rPr>
                <w:rFonts w:ascii="Arial" w:cs="Arial" w:eastAsia="Arial" w:hAnsi="Arial"/>
                <w:sz w:val="18"/>
                <w:szCs w:val="18"/>
                <w:color w:val="auto"/>
              </w:rPr>
            </w:pPr>
            <w:hyperlink r:id="rId74">
              <w:r>
                <w:rPr>
                  <w:rFonts w:ascii="Arial" w:cs="Arial" w:eastAsia="Arial" w:hAnsi="Arial"/>
                  <w:sz w:val="18"/>
                  <w:szCs w:val="18"/>
                  <w:color w:val="auto"/>
                </w:rPr>
                <w:t>Form of Securities Purchase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11</w:t>
            </w: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10.16</w:t>
            </w:r>
          </w:p>
        </w:tc>
        <w:tc>
          <w:tcPr>
            <w:tcW w:w="8760" w:type="dxa"/>
            <w:vAlign w:val="bottom"/>
            <w:gridSpan w:val="2"/>
          </w:tcPr>
          <w:p>
            <w:pPr>
              <w:ind w:left="80"/>
              <w:spacing w:after="0"/>
              <w:rPr>
                <w:rFonts w:ascii="Arial" w:cs="Arial" w:eastAsia="Arial" w:hAnsi="Arial"/>
                <w:sz w:val="18"/>
                <w:szCs w:val="18"/>
                <w:color w:val="auto"/>
              </w:rPr>
            </w:pPr>
            <w:hyperlink r:id="rId75">
              <w:r>
                <w:rPr>
                  <w:rFonts w:ascii="Arial" w:cs="Arial" w:eastAsia="Arial" w:hAnsi="Arial"/>
                  <w:sz w:val="18"/>
                  <w:szCs w:val="18"/>
                  <w:color w:val="auto"/>
                </w:rPr>
                <w:t>Form of Registration Rights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12</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10.17</w:t>
            </w:r>
          </w:p>
        </w:tc>
        <w:tc>
          <w:tcPr>
            <w:tcW w:w="8760" w:type="dxa"/>
            <w:vAlign w:val="bottom"/>
            <w:gridSpan w:val="2"/>
          </w:tcPr>
          <w:p>
            <w:pPr>
              <w:ind w:left="80"/>
              <w:spacing w:after="0"/>
              <w:rPr>
                <w:rFonts w:ascii="Arial" w:cs="Arial" w:eastAsia="Arial" w:hAnsi="Arial"/>
                <w:sz w:val="18"/>
                <w:szCs w:val="18"/>
                <w:color w:val="auto"/>
              </w:rPr>
            </w:pPr>
            <w:hyperlink r:id="rId76">
              <w:r>
                <w:rPr>
                  <w:rFonts w:ascii="Arial" w:cs="Arial" w:eastAsia="Arial" w:hAnsi="Arial"/>
                  <w:sz w:val="18"/>
                  <w:szCs w:val="18"/>
                  <w:color w:val="auto"/>
                </w:rPr>
                <w:t>*2004 Stock Incentive Program</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10.18</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*Form of Restricted Stock Agreement for Directors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10.19</w:t>
            </w:r>
          </w:p>
        </w:tc>
        <w:tc>
          <w:tcPr>
            <w:tcW w:w="8760" w:type="dxa"/>
            <w:vAlign w:val="bottom"/>
            <w:gridSpan w:val="2"/>
          </w:tcPr>
          <w:p>
            <w:pPr>
              <w:ind w:left="80"/>
              <w:spacing w:after="0"/>
              <w:rPr>
                <w:rFonts w:ascii="Arial" w:cs="Arial" w:eastAsia="Arial" w:hAnsi="Arial"/>
                <w:sz w:val="18"/>
                <w:szCs w:val="18"/>
                <w:color w:val="auto"/>
              </w:rPr>
            </w:pPr>
            <w:hyperlink r:id="rId78">
              <w:r>
                <w:rPr>
                  <w:rFonts w:ascii="Arial" w:cs="Arial" w:eastAsia="Arial" w:hAnsi="Arial"/>
                  <w:sz w:val="18"/>
                  <w:szCs w:val="18"/>
                  <w:color w:val="auto"/>
                </w:rPr>
                <w:t>*Form of Restricted Stock Unit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10.23</w:t>
            </w:r>
          </w:p>
        </w:tc>
        <w:tc>
          <w:tcPr>
            <w:tcW w:w="8760" w:type="dxa"/>
            <w:vAlign w:val="bottom"/>
            <w:gridSpan w:val="2"/>
          </w:tcPr>
          <w:p>
            <w:pPr>
              <w:ind w:left="80"/>
              <w:spacing w:after="0"/>
              <w:rPr>
                <w:rFonts w:ascii="Arial" w:cs="Arial" w:eastAsia="Arial" w:hAnsi="Arial"/>
                <w:sz w:val="18"/>
                <w:szCs w:val="18"/>
                <w:color w:val="auto"/>
              </w:rPr>
            </w:pPr>
            <w:hyperlink r:id="rId79">
              <w:r>
                <w:rPr>
                  <w:rFonts w:ascii="Arial" w:cs="Arial" w:eastAsia="Arial" w:hAnsi="Arial"/>
                  <w:sz w:val="18"/>
                  <w:szCs w:val="18"/>
                  <w:color w:val="auto"/>
                </w:rPr>
                <w:t>Limited Liability Company Agreement of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14</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10.24</w:t>
            </w:r>
          </w:p>
        </w:tc>
        <w:tc>
          <w:tcPr>
            <w:tcW w:w="8760" w:type="dxa"/>
            <w:vAlign w:val="bottom"/>
            <w:gridSpan w:val="2"/>
          </w:tcPr>
          <w:p>
            <w:pPr>
              <w:ind w:left="80"/>
              <w:spacing w:after="0"/>
              <w:rPr>
                <w:rFonts w:ascii="Arial" w:cs="Arial" w:eastAsia="Arial" w:hAnsi="Arial"/>
                <w:sz w:val="18"/>
                <w:szCs w:val="18"/>
                <w:color w:val="auto"/>
              </w:rPr>
            </w:pPr>
            <w:hyperlink r:id="rId80">
              <w:r>
                <w:rPr>
                  <w:rFonts w:ascii="Arial" w:cs="Arial" w:eastAsia="Arial" w:hAnsi="Arial"/>
                  <w:sz w:val="18"/>
                  <w:szCs w:val="18"/>
                  <w:color w:val="auto"/>
                </w:rPr>
                <w:t>Tejon Ranch Conservation and Land Use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15</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10.25</w:t>
            </w:r>
          </w:p>
        </w:tc>
        <w:tc>
          <w:tcPr>
            <w:tcW w:w="8760" w:type="dxa"/>
            <w:vAlign w:val="bottom"/>
            <w:gridSpan w:val="2"/>
          </w:tcPr>
          <w:p>
            <w:pPr>
              <w:ind w:left="80"/>
              <w:spacing w:after="0"/>
              <w:rPr>
                <w:rFonts w:ascii="Arial" w:cs="Arial" w:eastAsia="Arial" w:hAnsi="Arial"/>
                <w:sz w:val="18"/>
                <w:szCs w:val="18"/>
                <w:color w:val="auto"/>
              </w:rPr>
            </w:pPr>
            <w:hyperlink r:id="rId81">
              <w:r>
                <w:rPr>
                  <w:rFonts w:ascii="Arial" w:cs="Arial" w:eastAsia="Arial" w:hAnsi="Arial"/>
                  <w:sz w:val="18"/>
                  <w:szCs w:val="18"/>
                  <w:color w:val="auto"/>
                </w:rPr>
                <w:t>Second Amended and Restated Limited Liability Agreement of Centennial Founders,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16</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10.26</w:t>
            </w:r>
          </w:p>
        </w:tc>
        <w:tc>
          <w:tcPr>
            <w:tcW w:w="8760" w:type="dxa"/>
            <w:vAlign w:val="bottom"/>
            <w:gridSpan w:val="2"/>
          </w:tcPr>
          <w:p>
            <w:pPr>
              <w:ind w:left="80"/>
              <w:spacing w:after="0"/>
              <w:rPr>
                <w:rFonts w:ascii="Arial" w:cs="Arial" w:eastAsia="Arial" w:hAnsi="Arial"/>
                <w:sz w:val="18"/>
                <w:szCs w:val="18"/>
                <w:color w:val="auto"/>
              </w:rPr>
            </w:pPr>
            <w:hyperlink r:id="rId82">
              <w:r>
                <w:rPr>
                  <w:rFonts w:ascii="Arial" w:cs="Arial" w:eastAsia="Arial" w:hAnsi="Arial"/>
                  <w:sz w:val="18"/>
                  <w:szCs w:val="18"/>
                  <w:color w:val="auto"/>
                </w:rPr>
                <w:t>*Executive Employment Agreement - Allen E. Lyda</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17</w:t>
            </w: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10.27</w:t>
            </w:r>
          </w:p>
        </w:tc>
        <w:tc>
          <w:tcPr>
            <w:tcW w:w="8760" w:type="dxa"/>
            <w:vAlign w:val="bottom"/>
            <w:gridSpan w:val="2"/>
          </w:tcPr>
          <w:p>
            <w:pPr>
              <w:ind w:left="80"/>
              <w:spacing w:after="0"/>
              <w:rPr>
                <w:rFonts w:ascii="Arial" w:cs="Arial" w:eastAsia="Arial" w:hAnsi="Arial"/>
                <w:sz w:val="18"/>
                <w:szCs w:val="18"/>
                <w:color w:val="auto"/>
              </w:rPr>
            </w:pPr>
            <w:hyperlink r:id="rId83">
              <w:r>
                <w:rPr>
                  <w:rFonts w:ascii="Arial" w:cs="Arial" w:eastAsia="Arial" w:hAnsi="Arial"/>
                  <w:sz w:val="18"/>
                  <w:szCs w:val="18"/>
                  <w:color w:val="auto"/>
                </w:rPr>
                <w:t>Limited Liability Company Agreement of TRCC/Rock Outlet Center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18</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10.28</w:t>
            </w:r>
          </w:p>
        </w:tc>
        <w:tc>
          <w:tcPr>
            <w:tcW w:w="8760" w:type="dxa"/>
            <w:vAlign w:val="bottom"/>
            <w:gridSpan w:val="2"/>
          </w:tcPr>
          <w:p>
            <w:pPr>
              <w:ind w:left="80"/>
              <w:spacing w:after="0"/>
              <w:rPr>
                <w:rFonts w:ascii="Arial" w:cs="Arial" w:eastAsia="Arial" w:hAnsi="Arial"/>
                <w:sz w:val="18"/>
                <w:szCs w:val="18"/>
                <w:color w:val="auto"/>
              </w:rPr>
            </w:pPr>
            <w:hyperlink r:id="rId84">
              <w:r>
                <w:rPr>
                  <w:rFonts w:ascii="Arial" w:cs="Arial" w:eastAsia="Arial" w:hAnsi="Arial"/>
                  <w:sz w:val="18"/>
                  <w:szCs w:val="18"/>
                  <w:color w:val="auto"/>
                </w:rPr>
                <w:t>Warrant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19</w:t>
            </w: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10.29</w:t>
            </w:r>
          </w:p>
        </w:tc>
        <w:tc>
          <w:tcPr>
            <w:tcW w:w="8760" w:type="dxa"/>
            <w:vAlign w:val="bottom"/>
            <w:gridSpan w:val="2"/>
          </w:tcPr>
          <w:p>
            <w:pPr>
              <w:ind w:left="80"/>
              <w:spacing w:after="0"/>
              <w:rPr>
                <w:rFonts w:ascii="Arial" w:cs="Arial" w:eastAsia="Arial" w:hAnsi="Arial"/>
                <w:sz w:val="18"/>
                <w:szCs w:val="18"/>
                <w:color w:val="auto"/>
              </w:rPr>
            </w:pPr>
            <w:hyperlink r:id="rId85">
              <w:r>
                <w:rPr>
                  <w:rFonts w:ascii="Arial" w:cs="Arial" w:eastAsia="Arial" w:hAnsi="Arial"/>
                  <w:sz w:val="18"/>
                  <w:szCs w:val="18"/>
                  <w:color w:val="auto"/>
                </w:rPr>
                <w:t>Amendments to Limited Liability Company Agreement of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20</w:t>
            </w:r>
          </w:p>
        </w:tc>
      </w:tr>
      <w:tr>
        <w:trPr>
          <w:trHeight w:val="86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60" w:type="dxa"/>
            <w:vAlign w:val="bottom"/>
            <w:gridSpan w:val="2"/>
          </w:tcPr>
          <w:p>
            <w:pPr>
              <w:ind w:left="4360"/>
              <w:spacing w:after="0"/>
              <w:rPr>
                <w:sz w:val="20"/>
                <w:szCs w:val="20"/>
                <w:color w:val="auto"/>
              </w:rPr>
            </w:pPr>
            <w:r>
              <w:rPr>
                <w:rFonts w:ascii="Arial" w:cs="Arial" w:eastAsia="Arial" w:hAnsi="Arial"/>
                <w:sz w:val="18"/>
                <w:szCs w:val="18"/>
                <w:color w:val="auto"/>
              </w:rPr>
              <w:t>47</w:t>
            </w:r>
          </w:p>
        </w:tc>
        <w:tc>
          <w:tcPr>
            <w:tcW w:w="1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7" w:name="page48"/>
    <w:bookmarkEnd w:id="47"/>
    <w:tbl>
      <w:tblPr>
        <w:tblLayout w:type="fixed"/>
        <w:tblInd w:w="440" w:type="dxa"/>
        <w:tblCellMar>
          <w:top w:w="0" w:type="dxa"/>
          <w:left w:w="0" w:type="dxa"/>
          <w:bottom w:w="0" w:type="dxa"/>
          <w:right w:w="0" w:type="dxa"/>
        </w:tblCellMar>
      </w:tblP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8580" w:type="dxa"/>
            <w:vAlign w:val="bottom"/>
          </w:tcPr>
          <w:p>
            <w:pPr>
              <w:ind w:left="80"/>
              <w:spacing w:after="0"/>
              <w:rPr>
                <w:rFonts w:ascii="Arial" w:cs="Arial" w:eastAsia="Arial" w:hAnsi="Arial"/>
                <w:sz w:val="18"/>
                <w:szCs w:val="18"/>
                <w:color w:val="auto"/>
              </w:rPr>
            </w:pPr>
            <w:hyperlink r:id="rId88">
              <w:r>
                <w:rPr>
                  <w:rFonts w:ascii="Arial" w:cs="Arial" w:eastAsia="Arial" w:hAnsi="Arial"/>
                  <w:sz w:val="18"/>
                  <w:szCs w:val="18"/>
                  <w:color w:val="auto"/>
                </w:rPr>
                <w:t>Membership Interest Purchase Agreement - Tejon Mountain Village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21</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8580" w:type="dxa"/>
            <w:vAlign w:val="bottom"/>
          </w:tcPr>
          <w:p>
            <w:pPr>
              <w:ind w:left="80"/>
              <w:spacing w:after="0"/>
              <w:rPr>
                <w:rFonts w:ascii="Arial" w:cs="Arial" w:eastAsia="Arial" w:hAnsi="Arial"/>
                <w:sz w:val="18"/>
                <w:szCs w:val="18"/>
                <w:color w:val="auto"/>
              </w:rPr>
            </w:pPr>
            <w:hyperlink r:id="rId89">
              <w:r>
                <w:rPr>
                  <w:rFonts w:ascii="Arial" w:cs="Arial" w:eastAsia="Arial" w:hAnsi="Arial"/>
                  <w:sz w:val="18"/>
                  <w:szCs w:val="18"/>
                  <w:color w:val="auto"/>
                </w:rPr>
                <w:t>Amended and Restated Credit Agreement</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22</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8580" w:type="dxa"/>
            <w:vAlign w:val="bottom"/>
          </w:tcPr>
          <w:p>
            <w:pPr>
              <w:ind w:left="80"/>
              <w:spacing w:after="0"/>
              <w:rPr>
                <w:rFonts w:ascii="Arial" w:cs="Arial" w:eastAsia="Arial" w:hAnsi="Arial"/>
                <w:sz w:val="18"/>
                <w:szCs w:val="18"/>
                <w:color w:val="auto"/>
              </w:rPr>
            </w:pPr>
            <w:hyperlink r:id="rId90">
              <w:r>
                <w:rPr>
                  <w:rFonts w:ascii="Arial" w:cs="Arial" w:eastAsia="Arial" w:hAnsi="Arial"/>
                  <w:sz w:val="18"/>
                  <w:szCs w:val="18"/>
                  <w:color w:val="auto"/>
                </w:rPr>
                <w:t>Term Note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25</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8580" w:type="dxa"/>
            <w:vAlign w:val="bottom"/>
          </w:tcPr>
          <w:p>
            <w:pPr>
              <w:ind w:left="80"/>
              <w:spacing w:after="0"/>
              <w:rPr>
                <w:rFonts w:ascii="Arial" w:cs="Arial" w:eastAsia="Arial" w:hAnsi="Arial"/>
                <w:sz w:val="18"/>
                <w:szCs w:val="18"/>
                <w:color w:val="auto"/>
              </w:rPr>
            </w:pPr>
            <w:hyperlink r:id="rId91">
              <w:r>
                <w:rPr>
                  <w:rFonts w:ascii="Arial" w:cs="Arial" w:eastAsia="Arial" w:hAnsi="Arial"/>
                  <w:sz w:val="18"/>
                  <w:szCs w:val="18"/>
                  <w:color w:val="auto"/>
                </w:rPr>
                <w:t>Revolving Line of Credit</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36</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8580" w:type="dxa"/>
            <w:vAlign w:val="bottom"/>
          </w:tcPr>
          <w:p>
            <w:pPr>
              <w:ind w:left="80"/>
              <w:spacing w:after="0"/>
              <w:rPr>
                <w:rFonts w:ascii="Arial" w:cs="Arial" w:eastAsia="Arial" w:hAnsi="Arial"/>
                <w:sz w:val="18"/>
                <w:szCs w:val="18"/>
                <w:color w:val="auto"/>
              </w:rPr>
            </w:pPr>
            <w:hyperlink r:id="rId92">
              <w:r>
                <w:rPr>
                  <w:rFonts w:ascii="Arial" w:cs="Arial" w:eastAsia="Arial" w:hAnsi="Arial"/>
                  <w:sz w:val="18"/>
                  <w:szCs w:val="18"/>
                  <w:color w:val="auto"/>
                </w:rPr>
                <w:t>Amendments to Lease Agreement with Pastoria Energy Facility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23</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8580" w:type="dxa"/>
            <w:vAlign w:val="bottom"/>
          </w:tcPr>
          <w:p>
            <w:pPr>
              <w:ind w:left="80"/>
              <w:spacing w:after="0"/>
              <w:rPr>
                <w:rFonts w:ascii="Arial" w:cs="Arial" w:eastAsia="Arial" w:hAnsi="Arial"/>
                <w:sz w:val="18"/>
                <w:szCs w:val="18"/>
                <w:color w:val="auto"/>
              </w:rPr>
            </w:pPr>
            <w:hyperlink r:id="rId93">
              <w:r>
                <w:rPr>
                  <w:rFonts w:ascii="Arial" w:cs="Arial" w:eastAsia="Arial" w:hAnsi="Arial"/>
                  <w:sz w:val="18"/>
                  <w:szCs w:val="18"/>
                  <w:color w:val="auto"/>
                </w:rPr>
                <w:t>Water Supply Agreement with Pastoria Energy Facility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24</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8580" w:type="dxa"/>
            <w:vAlign w:val="bottom"/>
          </w:tcPr>
          <w:p>
            <w:pPr>
              <w:ind w:left="80"/>
              <w:spacing w:after="0"/>
              <w:rPr>
                <w:rFonts w:ascii="Arial" w:cs="Arial" w:eastAsia="Arial" w:hAnsi="Arial"/>
                <w:sz w:val="18"/>
                <w:szCs w:val="18"/>
                <w:color w:val="auto"/>
              </w:rPr>
            </w:pPr>
            <w:hyperlink r:id="rId94">
              <w:r>
                <w:rPr>
                  <w:rFonts w:ascii="Arial" w:cs="Arial" w:eastAsia="Arial" w:hAnsi="Arial"/>
                  <w:sz w:val="18"/>
                  <w:szCs w:val="18"/>
                  <w:color w:val="auto"/>
                </w:rPr>
                <w:t>Limited Liability Company Agreement of TRC-MRC 2,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26</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8580" w:type="dxa"/>
            <w:vAlign w:val="bottom"/>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Limited Liability Company Agreement of TRC-MRC 1,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27</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8580" w:type="dxa"/>
            <w:vAlign w:val="bottom"/>
          </w:tcPr>
          <w:p>
            <w:pPr>
              <w:ind w:left="80"/>
              <w:spacing w:after="0"/>
              <w:rPr>
                <w:rFonts w:ascii="Arial" w:cs="Arial" w:eastAsia="Arial" w:hAnsi="Arial"/>
                <w:sz w:val="18"/>
                <w:szCs w:val="18"/>
                <w:color w:val="auto"/>
              </w:rPr>
            </w:pPr>
            <w:hyperlink r:id="rId96">
              <w:r>
                <w:rPr>
                  <w:rFonts w:ascii="Arial" w:cs="Arial" w:eastAsia="Arial" w:hAnsi="Arial"/>
                  <w:sz w:val="18"/>
                  <w:szCs w:val="18"/>
                  <w:color w:val="auto"/>
                </w:rPr>
                <w:t>Centennial Founders LLC, Redemption and Withdrawal Agreement - Lewis Tejon Member,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28</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10.40</w:t>
            </w:r>
          </w:p>
        </w:tc>
        <w:tc>
          <w:tcPr>
            <w:tcW w:w="8580" w:type="dxa"/>
            <w:vAlign w:val="bottom"/>
          </w:tcPr>
          <w:p>
            <w:pPr>
              <w:ind w:left="80"/>
              <w:spacing w:after="0" w:line="176" w:lineRule="exact"/>
              <w:rPr>
                <w:rFonts w:ascii="Arial" w:cs="Arial" w:eastAsia="Arial" w:hAnsi="Arial"/>
                <w:sz w:val="18"/>
                <w:szCs w:val="18"/>
                <w:color w:val="auto"/>
              </w:rPr>
            </w:pPr>
            <w:hyperlink r:id="rId97">
              <w:r>
                <w:rPr>
                  <w:rFonts w:ascii="Arial" w:cs="Arial" w:eastAsia="Arial" w:hAnsi="Arial"/>
                  <w:sz w:val="18"/>
                  <w:szCs w:val="18"/>
                  <w:color w:val="auto"/>
                </w:rPr>
                <w:t>First Amendment to Second Amended and Restated Limited Liability Company Agreement of Centennial</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FN 29</w:t>
            </w:r>
          </w:p>
        </w:tc>
      </w:tr>
      <w:tr>
        <w:trPr>
          <w:trHeight w:val="230"/>
        </w:trPr>
        <w:tc>
          <w:tcPr>
            <w:tcW w:w="740" w:type="dxa"/>
            <w:vAlign w:val="bottom"/>
          </w:tcPr>
          <w:p>
            <w:pPr>
              <w:spacing w:after="0"/>
              <w:rPr>
                <w:sz w:val="20"/>
                <w:szCs w:val="20"/>
                <w:color w:val="auto"/>
              </w:rPr>
            </w:pPr>
          </w:p>
        </w:tc>
        <w:tc>
          <w:tcPr>
            <w:tcW w:w="8580" w:type="dxa"/>
            <w:vAlign w:val="bottom"/>
          </w:tcPr>
          <w:p>
            <w:pPr>
              <w:ind w:left="80"/>
              <w:spacing w:after="0"/>
              <w:rPr>
                <w:rFonts w:ascii="Arial" w:cs="Arial" w:eastAsia="Arial" w:hAnsi="Arial"/>
                <w:sz w:val="18"/>
                <w:szCs w:val="18"/>
                <w:color w:val="auto"/>
              </w:rPr>
            </w:pPr>
            <w:hyperlink r:id="rId97">
              <w:r>
                <w:rPr>
                  <w:rFonts w:ascii="Arial" w:cs="Arial" w:eastAsia="Arial" w:hAnsi="Arial"/>
                  <w:sz w:val="18"/>
                  <w:szCs w:val="18"/>
                  <w:color w:val="auto"/>
                </w:rPr>
                <w:t>Founders, LLC</w:t>
              </w:r>
            </w:hyperlink>
          </w:p>
        </w:tc>
        <w:tc>
          <w:tcPr>
            <w:tcW w:w="1400" w:type="dxa"/>
            <w:vAlign w:val="bottom"/>
          </w:tcPr>
          <w:p>
            <w:pPr>
              <w:spacing w:after="0"/>
              <w:rPr>
                <w:sz w:val="20"/>
                <w:szCs w:val="20"/>
                <w:color w:val="auto"/>
              </w:rPr>
            </w:pPr>
          </w:p>
        </w:tc>
      </w:tr>
      <w:tr>
        <w:trPr>
          <w:trHeight w:val="188"/>
        </w:trPr>
        <w:tc>
          <w:tcPr>
            <w:tcW w:w="7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10.41</w:t>
            </w:r>
          </w:p>
        </w:tc>
        <w:tc>
          <w:tcPr>
            <w:tcW w:w="8580" w:type="dxa"/>
            <w:vAlign w:val="bottom"/>
          </w:tcPr>
          <w:p>
            <w:pPr>
              <w:ind w:left="80"/>
              <w:spacing w:after="0" w:line="189" w:lineRule="exact"/>
              <w:rPr>
                <w:rFonts w:ascii="Arial" w:cs="Arial" w:eastAsia="Arial" w:hAnsi="Arial"/>
                <w:sz w:val="18"/>
                <w:szCs w:val="18"/>
                <w:color w:val="auto"/>
                <w:w w:val="98"/>
              </w:rPr>
            </w:pPr>
            <w:hyperlink r:id="rId98">
              <w:r>
                <w:rPr>
                  <w:rFonts w:ascii="Arial" w:cs="Arial" w:eastAsia="Arial" w:hAnsi="Arial"/>
                  <w:sz w:val="18"/>
                  <w:szCs w:val="18"/>
                  <w:color w:val="auto"/>
                  <w:w w:val="98"/>
                </w:rPr>
                <w:t>Second Amendment to Second Amended and Restated Limited Liability Company Agreement of Centennial</w:t>
              </w:r>
            </w:hyperlink>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FN 30</w:t>
            </w:r>
          </w:p>
        </w:tc>
      </w:tr>
      <w:tr>
        <w:trPr>
          <w:trHeight w:val="230"/>
        </w:trPr>
        <w:tc>
          <w:tcPr>
            <w:tcW w:w="740" w:type="dxa"/>
            <w:vAlign w:val="bottom"/>
          </w:tcPr>
          <w:p>
            <w:pPr>
              <w:spacing w:after="0"/>
              <w:rPr>
                <w:sz w:val="20"/>
                <w:szCs w:val="20"/>
                <w:color w:val="auto"/>
              </w:rPr>
            </w:pPr>
          </w:p>
        </w:tc>
        <w:tc>
          <w:tcPr>
            <w:tcW w:w="8580" w:type="dxa"/>
            <w:vAlign w:val="bottom"/>
          </w:tcPr>
          <w:p>
            <w:pPr>
              <w:ind w:left="80"/>
              <w:spacing w:after="0"/>
              <w:rPr>
                <w:rFonts w:ascii="Arial" w:cs="Arial" w:eastAsia="Arial" w:hAnsi="Arial"/>
                <w:sz w:val="18"/>
                <w:szCs w:val="18"/>
                <w:color w:val="auto"/>
              </w:rPr>
            </w:pPr>
            <w:hyperlink r:id="rId98">
              <w:r>
                <w:rPr>
                  <w:rFonts w:ascii="Arial" w:cs="Arial" w:eastAsia="Arial" w:hAnsi="Arial"/>
                  <w:sz w:val="18"/>
                  <w:szCs w:val="18"/>
                  <w:color w:val="auto"/>
                </w:rPr>
                <w:t>Founders, LLC</w:t>
              </w:r>
            </w:hyperlink>
          </w:p>
        </w:tc>
        <w:tc>
          <w:tcPr>
            <w:tcW w:w="1400" w:type="dxa"/>
            <w:vAlign w:val="bottom"/>
          </w:tcPr>
          <w:p>
            <w:pPr>
              <w:spacing w:after="0"/>
              <w:rPr>
                <w:sz w:val="20"/>
                <w:szCs w:val="20"/>
                <w:color w:val="auto"/>
              </w:rPr>
            </w:pPr>
          </w:p>
        </w:tc>
      </w:tr>
      <w:tr>
        <w:trPr>
          <w:trHeight w:val="241"/>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8580" w:type="dxa"/>
            <w:vAlign w:val="bottom"/>
          </w:tcPr>
          <w:p>
            <w:pPr>
              <w:ind w:left="80"/>
              <w:spacing w:after="0"/>
              <w:rPr>
                <w:rFonts w:ascii="Arial" w:cs="Arial" w:eastAsia="Arial" w:hAnsi="Arial"/>
                <w:sz w:val="18"/>
                <w:szCs w:val="18"/>
                <w:color w:val="auto"/>
              </w:rPr>
            </w:pPr>
            <w:hyperlink r:id="rId99">
              <w:r>
                <w:rPr>
                  <w:rFonts w:ascii="Arial" w:cs="Arial" w:eastAsia="Arial" w:hAnsi="Arial"/>
                  <w:sz w:val="18"/>
                  <w:szCs w:val="18"/>
                  <w:color w:val="auto"/>
                </w:rPr>
                <w:t>Limited Liability Company Agreement of TRC-MRC 3,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31</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10.43</w:t>
            </w:r>
          </w:p>
        </w:tc>
        <w:tc>
          <w:tcPr>
            <w:tcW w:w="8580" w:type="dxa"/>
            <w:vAlign w:val="bottom"/>
          </w:tcPr>
          <w:p>
            <w:pPr>
              <w:ind w:left="80"/>
              <w:spacing w:after="0" w:line="176" w:lineRule="exact"/>
              <w:rPr>
                <w:rFonts w:ascii="Arial" w:cs="Arial" w:eastAsia="Arial" w:hAnsi="Arial"/>
                <w:sz w:val="18"/>
                <w:szCs w:val="18"/>
                <w:color w:val="auto"/>
                <w:w w:val="99"/>
              </w:rPr>
            </w:pPr>
            <w:hyperlink r:id="rId100">
              <w:r>
                <w:rPr>
                  <w:rFonts w:ascii="Arial" w:cs="Arial" w:eastAsia="Arial" w:hAnsi="Arial"/>
                  <w:sz w:val="18"/>
                  <w:szCs w:val="18"/>
                  <w:color w:val="auto"/>
                  <w:w w:val="99"/>
                </w:rPr>
                <w:t>Fourth Amendment to Second Amended and Restated Limited Liability Company Agreement of Centennial</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FN 32</w:t>
            </w:r>
          </w:p>
        </w:tc>
      </w:tr>
      <w:tr>
        <w:trPr>
          <w:trHeight w:val="230"/>
        </w:trPr>
        <w:tc>
          <w:tcPr>
            <w:tcW w:w="740" w:type="dxa"/>
            <w:vAlign w:val="bottom"/>
          </w:tcPr>
          <w:p>
            <w:pPr>
              <w:spacing w:after="0"/>
              <w:rPr>
                <w:sz w:val="20"/>
                <w:szCs w:val="20"/>
                <w:color w:val="auto"/>
              </w:rPr>
            </w:pPr>
          </w:p>
        </w:tc>
        <w:tc>
          <w:tcPr>
            <w:tcW w:w="8580" w:type="dxa"/>
            <w:vAlign w:val="bottom"/>
          </w:tcPr>
          <w:p>
            <w:pPr>
              <w:ind w:left="80"/>
              <w:spacing w:after="0"/>
              <w:rPr>
                <w:rFonts w:ascii="Arial" w:cs="Arial" w:eastAsia="Arial" w:hAnsi="Arial"/>
                <w:sz w:val="18"/>
                <w:szCs w:val="18"/>
                <w:color w:val="auto"/>
              </w:rPr>
            </w:pPr>
            <w:hyperlink r:id="rId100">
              <w:r>
                <w:rPr>
                  <w:rFonts w:ascii="Arial" w:cs="Arial" w:eastAsia="Arial" w:hAnsi="Arial"/>
                  <w:sz w:val="18"/>
                  <w:szCs w:val="18"/>
                  <w:color w:val="auto"/>
                </w:rPr>
                <w:t>Founders, LLC</w:t>
              </w:r>
            </w:hyperlink>
          </w:p>
        </w:tc>
        <w:tc>
          <w:tcPr>
            <w:tcW w:w="1400" w:type="dxa"/>
            <w:vAlign w:val="bottom"/>
          </w:tcPr>
          <w:p>
            <w:pPr>
              <w:spacing w:after="0"/>
              <w:rPr>
                <w:sz w:val="20"/>
                <w:szCs w:val="20"/>
                <w:color w:val="auto"/>
              </w:rPr>
            </w:pPr>
          </w:p>
        </w:tc>
      </w:tr>
      <w:tr>
        <w:trPr>
          <w:trHeight w:val="241"/>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8580" w:type="dxa"/>
            <w:vAlign w:val="bottom"/>
          </w:tcPr>
          <w:p>
            <w:pPr>
              <w:ind w:left="80"/>
              <w:spacing w:after="0"/>
              <w:rPr>
                <w:rFonts w:ascii="Arial" w:cs="Arial" w:eastAsia="Arial" w:hAnsi="Arial"/>
                <w:sz w:val="18"/>
                <w:szCs w:val="18"/>
                <w:color w:val="auto"/>
              </w:rPr>
            </w:pPr>
            <w:hyperlink r:id="rId101">
              <w:r>
                <w:rPr>
                  <w:rFonts w:ascii="Arial" w:cs="Arial" w:eastAsia="Arial" w:hAnsi="Arial"/>
                  <w:sz w:val="18"/>
                  <w:szCs w:val="18"/>
                  <w:color w:val="auto"/>
                </w:rPr>
                <w:t>Centennial Founders, LLC Redemption and Withdrawal Agreement - CalAtlantic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33</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8580" w:type="dxa"/>
            <w:vAlign w:val="bottom"/>
          </w:tcPr>
          <w:p>
            <w:pPr>
              <w:ind w:left="80"/>
              <w:spacing w:after="0"/>
              <w:rPr>
                <w:rFonts w:ascii="Arial" w:cs="Arial" w:eastAsia="Arial" w:hAnsi="Arial"/>
                <w:sz w:val="18"/>
                <w:szCs w:val="18"/>
                <w:color w:val="auto"/>
              </w:rPr>
            </w:pPr>
            <w:hyperlink r:id="rId102">
              <w:r>
                <w:rPr>
                  <w:rFonts w:ascii="Arial" w:cs="Arial" w:eastAsia="Arial" w:hAnsi="Arial"/>
                  <w:sz w:val="18"/>
                  <w:szCs w:val="18"/>
                  <w:color w:val="auto"/>
                </w:rPr>
                <w:t>Amended Revolving Line of Credit</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34</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8580" w:type="dxa"/>
            <w:vAlign w:val="bottom"/>
          </w:tcPr>
          <w:p>
            <w:pPr>
              <w:ind w:left="80"/>
              <w:spacing w:after="0"/>
              <w:rPr>
                <w:rFonts w:ascii="Arial" w:cs="Arial" w:eastAsia="Arial" w:hAnsi="Arial"/>
                <w:sz w:val="18"/>
                <w:szCs w:val="18"/>
                <w:color w:val="auto"/>
              </w:rPr>
            </w:pPr>
            <w:hyperlink r:id="rId103">
              <w:r>
                <w:rPr>
                  <w:rFonts w:ascii="Arial" w:cs="Arial" w:eastAsia="Arial" w:hAnsi="Arial"/>
                  <w:sz w:val="18"/>
                  <w:szCs w:val="18"/>
                  <w:color w:val="auto"/>
                </w:rPr>
                <w:t>Amended Term Note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35</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10.47</w:t>
            </w:r>
          </w:p>
        </w:tc>
        <w:tc>
          <w:tcPr>
            <w:tcW w:w="8580" w:type="dxa"/>
            <w:vAlign w:val="bottom"/>
          </w:tcPr>
          <w:p>
            <w:pPr>
              <w:ind w:left="80"/>
              <w:spacing w:after="0"/>
              <w:rPr>
                <w:rFonts w:ascii="Arial" w:cs="Arial" w:eastAsia="Arial" w:hAnsi="Arial"/>
                <w:sz w:val="18"/>
                <w:szCs w:val="18"/>
                <w:color w:val="auto"/>
              </w:rPr>
            </w:pPr>
            <w:hyperlink r:id="rId104">
              <w:r>
                <w:rPr>
                  <w:rFonts w:ascii="Arial" w:cs="Arial" w:eastAsia="Arial" w:hAnsi="Arial"/>
                  <w:sz w:val="18"/>
                  <w:szCs w:val="18"/>
                  <w:color w:val="auto"/>
                </w:rPr>
                <w:t>*Executive Officer Severance Agreement - Gregory S. Bielli</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38</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8580" w:type="dxa"/>
            <w:vAlign w:val="bottom"/>
          </w:tcPr>
          <w:p>
            <w:pPr>
              <w:ind w:left="80"/>
              <w:spacing w:after="0"/>
              <w:rPr>
                <w:rFonts w:ascii="Arial" w:cs="Arial" w:eastAsia="Arial" w:hAnsi="Arial"/>
                <w:sz w:val="18"/>
                <w:szCs w:val="18"/>
                <w:color w:val="auto"/>
              </w:rPr>
            </w:pPr>
            <w:hyperlink r:id="rId105">
              <w:r>
                <w:rPr>
                  <w:rFonts w:ascii="Arial" w:cs="Arial" w:eastAsia="Arial" w:hAnsi="Arial"/>
                  <w:sz w:val="18"/>
                  <w:szCs w:val="18"/>
                  <w:color w:val="auto"/>
                </w:rPr>
                <w:t>Limited Liability Company Agreement of TRC-MRC 4,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39</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10.49</w:t>
            </w:r>
          </w:p>
        </w:tc>
        <w:tc>
          <w:tcPr>
            <w:tcW w:w="8580" w:type="dxa"/>
            <w:vAlign w:val="bottom"/>
          </w:tcPr>
          <w:p>
            <w:pPr>
              <w:ind w:left="80"/>
              <w:spacing w:after="0"/>
              <w:rPr>
                <w:rFonts w:ascii="Arial" w:cs="Arial" w:eastAsia="Arial" w:hAnsi="Arial"/>
                <w:sz w:val="18"/>
                <w:szCs w:val="18"/>
                <w:color w:val="auto"/>
              </w:rPr>
            </w:pPr>
            <w:hyperlink r:id="rId106">
              <w:r>
                <w:rPr>
                  <w:rFonts w:ascii="Arial" w:cs="Arial" w:eastAsia="Arial" w:hAnsi="Arial"/>
                  <w:sz w:val="18"/>
                  <w:szCs w:val="18"/>
                  <w:color w:val="auto"/>
                </w:rPr>
                <w:t>Settlement Agreement of CEQA litigation with Climate Resolve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40</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8580" w:type="dxa"/>
            <w:vAlign w:val="bottom"/>
          </w:tcPr>
          <w:p>
            <w:pPr>
              <w:ind w:left="80"/>
              <w:spacing w:after="0"/>
              <w:rPr>
                <w:rFonts w:ascii="Arial" w:cs="Arial" w:eastAsia="Arial" w:hAnsi="Arial"/>
                <w:sz w:val="18"/>
                <w:szCs w:val="18"/>
                <w:color w:val="auto"/>
              </w:rPr>
            </w:pPr>
            <w:hyperlink r:id="rId107">
              <w:r>
                <w:rPr>
                  <w:rFonts w:ascii="Arial" w:cs="Arial" w:eastAsia="Arial" w:hAnsi="Arial"/>
                  <w:sz w:val="18"/>
                  <w:szCs w:val="18"/>
                  <w:color w:val="auto"/>
                </w:rPr>
                <w:t>Limited Liability Company Agreement of TRC-MRC Multi I,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41</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8580" w:type="dxa"/>
            <w:vAlign w:val="bottom"/>
          </w:tcPr>
          <w:p>
            <w:pPr>
              <w:ind w:left="80"/>
              <w:spacing w:after="0"/>
              <w:rPr>
                <w:rFonts w:ascii="Arial" w:cs="Arial" w:eastAsia="Arial" w:hAnsi="Arial"/>
                <w:sz w:val="18"/>
                <w:szCs w:val="18"/>
                <w:color w:val="auto"/>
              </w:rPr>
            </w:pPr>
            <w:hyperlink r:id="rId108">
              <w:r>
                <w:rPr>
                  <w:rFonts w:ascii="Arial" w:cs="Arial" w:eastAsia="Arial" w:hAnsi="Arial"/>
                  <w:sz w:val="18"/>
                  <w:szCs w:val="18"/>
                  <w:color w:val="auto"/>
                </w:rPr>
                <w:t>Limited Liability Company Agreement of TRC-MRC 5,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42</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10.52</w:t>
            </w:r>
          </w:p>
        </w:tc>
        <w:tc>
          <w:tcPr>
            <w:tcW w:w="8580" w:type="dxa"/>
            <w:vAlign w:val="bottom"/>
          </w:tcPr>
          <w:p>
            <w:pPr>
              <w:ind w:left="80"/>
              <w:spacing w:after="0"/>
              <w:rPr>
                <w:rFonts w:ascii="Arial" w:cs="Arial" w:eastAsia="Arial" w:hAnsi="Arial"/>
                <w:sz w:val="18"/>
                <w:szCs w:val="18"/>
                <w:color w:val="auto"/>
              </w:rPr>
            </w:pPr>
            <w:hyperlink r:id="rId109">
              <w:r>
                <w:rPr>
                  <w:rFonts w:ascii="Arial" w:cs="Arial" w:eastAsia="Arial" w:hAnsi="Arial"/>
                  <w:sz w:val="18"/>
                  <w:szCs w:val="18"/>
                  <w:color w:val="auto"/>
                </w:rPr>
                <w:t>Credit Agreement Between Tejon Ranchcorp and Bank of America, N.A.</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43</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10.53</w:t>
            </w:r>
          </w:p>
        </w:tc>
        <w:tc>
          <w:tcPr>
            <w:tcW w:w="8580" w:type="dxa"/>
            <w:vAlign w:val="bottom"/>
          </w:tcPr>
          <w:p>
            <w:pPr>
              <w:ind w:left="80"/>
              <w:spacing w:after="0"/>
              <w:rPr>
                <w:rFonts w:ascii="Arial" w:cs="Arial" w:eastAsia="Arial" w:hAnsi="Arial"/>
                <w:sz w:val="18"/>
                <w:szCs w:val="18"/>
                <w:color w:val="auto"/>
              </w:rPr>
            </w:pPr>
            <w:hyperlink r:id="rId110">
              <w:r>
                <w:rPr>
                  <w:rFonts w:ascii="Arial" w:cs="Arial" w:eastAsia="Arial" w:hAnsi="Arial"/>
                  <w:sz w:val="18"/>
                  <w:szCs w:val="18"/>
                  <w:color w:val="auto"/>
                </w:rPr>
                <w:t>Executive Officer Severance Agreement – Marc Hardy</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44</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858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858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32</w:t>
            </w:r>
          </w:p>
        </w:tc>
        <w:tc>
          <w:tcPr>
            <w:tcW w:w="8580" w:type="dxa"/>
            <w:vAlign w:val="bottom"/>
          </w:tcPr>
          <w:p>
            <w:pPr>
              <w:ind w:left="80"/>
              <w:spacing w:after="0" w:line="176" w:lineRule="exact"/>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w:t>
            </w: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Furnished</w:t>
            </w:r>
          </w:p>
        </w:tc>
      </w:tr>
      <w:tr>
        <w:trPr>
          <w:trHeight w:val="230"/>
        </w:trPr>
        <w:tc>
          <w:tcPr>
            <w:tcW w:w="74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Arial" w:cs="Arial" w:eastAsia="Arial" w:hAnsi="Arial"/>
                <w:sz w:val="18"/>
                <w:szCs w:val="18"/>
                <w:color w:val="auto"/>
              </w:rPr>
              <w:t>of 2002</w:t>
            </w:r>
          </w:p>
        </w:tc>
        <w:tc>
          <w:tcPr>
            <w:tcW w:w="1400" w:type="dxa"/>
            <w:vAlign w:val="bottom"/>
          </w:tcPr>
          <w:p>
            <w:pPr>
              <w:spacing w:after="0"/>
              <w:rPr>
                <w:sz w:val="20"/>
                <w:szCs w:val="20"/>
                <w:color w:val="auto"/>
              </w:rPr>
            </w:pPr>
          </w:p>
        </w:tc>
      </w:tr>
      <w:tr>
        <w:trPr>
          <w:trHeight w:val="188"/>
        </w:trPr>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101.INS</w:t>
            </w:r>
          </w:p>
        </w:tc>
        <w:tc>
          <w:tcPr>
            <w:tcW w:w="8580" w:type="dxa"/>
            <w:vAlign w:val="bottom"/>
          </w:tcPr>
          <w:p>
            <w:pPr>
              <w:ind w:left="80"/>
              <w:spacing w:after="0" w:line="189"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c>
          <w:tcPr>
            <w:tcW w:w="1400" w:type="dxa"/>
            <w:vAlign w:val="bottom"/>
          </w:tcPr>
          <w:p>
            <w:pPr>
              <w:spacing w:after="0"/>
              <w:rPr>
                <w:sz w:val="20"/>
                <w:szCs w:val="20"/>
                <w:color w:val="auto"/>
              </w:rPr>
            </w:pPr>
          </w:p>
        </w:tc>
      </w:tr>
      <w:tr>
        <w:trPr>
          <w:trHeight w:val="241"/>
        </w:trPr>
        <w:tc>
          <w:tcPr>
            <w:tcW w:w="74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ind w:left="1020" w:right="3400" w:hanging="179"/>
        <w:spacing w:after="0" w:line="292" w:lineRule="auto"/>
        <w:tabs>
          <w:tab w:leader="none" w:pos="12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compensatory plan or arrangement.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ind w:left="20"/>
              <w:spacing w:after="0"/>
              <w:rPr>
                <w:sz w:val="20"/>
                <w:szCs w:val="20"/>
                <w:color w:val="auto"/>
              </w:rPr>
            </w:pPr>
            <w:r>
              <w:rPr>
                <w:rFonts w:ascii="Arial" w:cs="Arial" w:eastAsia="Arial" w:hAnsi="Arial"/>
                <w:sz w:val="18"/>
                <w:szCs w:val="18"/>
                <w:color w:val="auto"/>
              </w:rPr>
              <w:t>FN 1</w:t>
            </w:r>
          </w:p>
        </w:tc>
        <w:tc>
          <w:tcPr>
            <w:tcW w:w="10540" w:type="dxa"/>
            <w:vAlign w:val="bottom"/>
          </w:tcPr>
          <w:p>
            <w:pPr>
              <w:ind w:left="320"/>
              <w:spacing w:after="0"/>
              <w:rPr>
                <w:sz w:val="20"/>
                <w:szCs w:val="20"/>
                <w:color w:val="auto"/>
              </w:rPr>
            </w:pPr>
            <w:r>
              <w:rPr>
                <w:rFonts w:ascii="Arial" w:cs="Arial" w:eastAsia="Arial" w:hAnsi="Arial"/>
                <w:sz w:val="18"/>
                <w:szCs w:val="18"/>
                <w:color w:val="auto"/>
                <w:w w:val="97"/>
              </w:rPr>
              <w:t>This document, filed with the Securities and Exchange Commission in Washington, D.C. (file number 1-07183) as Exhibit 3.1 to our</w:t>
            </w:r>
          </w:p>
        </w:tc>
      </w:tr>
      <w:tr>
        <w:trPr>
          <w:trHeight w:val="230"/>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Quarterly Report on Form 10-Q for the period ended June 30, 2021, is incorporated herein by reference.</w:t>
            </w:r>
          </w:p>
        </w:tc>
      </w:tr>
      <w:tr>
        <w:trPr>
          <w:trHeight w:val="203"/>
        </w:trPr>
        <w:tc>
          <w:tcPr>
            <w:tcW w:w="700" w:type="dxa"/>
            <w:vAlign w:val="bottom"/>
          </w:tcPr>
          <w:p>
            <w:pPr>
              <w:ind w:left="20"/>
              <w:spacing w:after="0" w:line="202" w:lineRule="exact"/>
              <w:rPr>
                <w:sz w:val="20"/>
                <w:szCs w:val="20"/>
                <w:color w:val="auto"/>
              </w:rPr>
            </w:pPr>
            <w:r>
              <w:rPr>
                <w:rFonts w:ascii="Arial" w:cs="Arial" w:eastAsia="Arial" w:hAnsi="Arial"/>
                <w:sz w:val="18"/>
                <w:szCs w:val="18"/>
                <w:color w:val="auto"/>
              </w:rPr>
              <w:t>FN 2</w:t>
            </w:r>
          </w:p>
        </w:tc>
        <w:tc>
          <w:tcPr>
            <w:tcW w:w="10540" w:type="dxa"/>
            <w:vAlign w:val="bottom"/>
          </w:tcPr>
          <w:p>
            <w:pPr>
              <w:ind w:left="320"/>
              <w:spacing w:after="0" w:line="202" w:lineRule="exact"/>
              <w:rPr>
                <w:rFonts w:ascii="Arial" w:cs="Arial" w:eastAsia="Arial" w:hAnsi="Arial"/>
                <w:sz w:val="18"/>
                <w:szCs w:val="18"/>
                <w:color w:val="auto"/>
                <w:w w:val="92"/>
              </w:rPr>
            </w:pPr>
            <w:hyperlink r:id="rId111">
              <w:r>
                <w:rPr>
                  <w:rFonts w:ascii="Arial" w:cs="Arial" w:eastAsia="Arial" w:hAnsi="Arial"/>
                  <w:sz w:val="18"/>
                  <w:szCs w:val="18"/>
                  <w:color w:val="auto"/>
                  <w:w w:val="92"/>
                </w:rPr>
                <w:t>This document, filed with the Securities and Exchange Commission in Washington, D.C. (file number 1-07183) as Exhibit 3.1 to our Current</w:t>
              </w:r>
            </w:hyperlink>
          </w:p>
        </w:tc>
      </w:tr>
      <w:tr>
        <w:trPr>
          <w:trHeight w:val="230"/>
        </w:trPr>
        <w:tc>
          <w:tcPr>
            <w:tcW w:w="700" w:type="dxa"/>
            <w:vAlign w:val="bottom"/>
          </w:tcPr>
          <w:p>
            <w:pPr>
              <w:spacing w:after="0"/>
              <w:rPr>
                <w:sz w:val="20"/>
                <w:szCs w:val="20"/>
                <w:color w:val="auto"/>
              </w:rPr>
            </w:pPr>
          </w:p>
        </w:tc>
        <w:tc>
          <w:tcPr>
            <w:tcW w:w="10540" w:type="dxa"/>
            <w:vAlign w:val="bottom"/>
          </w:tcPr>
          <w:p>
            <w:pPr>
              <w:ind w:left="320"/>
              <w:spacing w:after="0"/>
              <w:rPr>
                <w:rFonts w:ascii="Arial" w:cs="Arial" w:eastAsia="Arial" w:hAnsi="Arial"/>
                <w:sz w:val="18"/>
                <w:szCs w:val="18"/>
                <w:color w:val="auto"/>
              </w:rPr>
            </w:pPr>
            <w:hyperlink r:id="rId111">
              <w:r>
                <w:rPr>
                  <w:rFonts w:ascii="Arial" w:cs="Arial" w:eastAsia="Arial" w:hAnsi="Arial"/>
                  <w:sz w:val="18"/>
                  <w:szCs w:val="18"/>
                  <w:color w:val="auto"/>
                </w:rPr>
                <w:t>Report on Form 8-K filed on March 24, 2023, is incorporated herein by reference.</w:t>
              </w:r>
            </w:hyperlink>
          </w:p>
        </w:tc>
      </w:tr>
      <w:tr>
        <w:trPr>
          <w:trHeight w:val="188"/>
        </w:trPr>
        <w:tc>
          <w:tcPr>
            <w:tcW w:w="700" w:type="dxa"/>
            <w:vAlign w:val="bottom"/>
          </w:tcPr>
          <w:p>
            <w:pPr>
              <w:ind w:left="20"/>
              <w:spacing w:after="0" w:line="189" w:lineRule="exact"/>
              <w:rPr>
                <w:sz w:val="20"/>
                <w:szCs w:val="20"/>
                <w:color w:val="auto"/>
              </w:rPr>
            </w:pPr>
            <w:r>
              <w:rPr>
                <w:rFonts w:ascii="Arial" w:cs="Arial" w:eastAsia="Arial" w:hAnsi="Arial"/>
                <w:sz w:val="18"/>
                <w:szCs w:val="18"/>
                <w:color w:val="auto"/>
              </w:rPr>
              <w:t>FN 5</w:t>
            </w:r>
          </w:p>
        </w:tc>
        <w:tc>
          <w:tcPr>
            <w:tcW w:w="10540" w:type="dxa"/>
            <w:vAlign w:val="bottom"/>
          </w:tcPr>
          <w:p>
            <w:pPr>
              <w:ind w:left="320"/>
              <w:spacing w:after="0" w:line="189"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as Exhibit 4.1 to our Current</w:t>
            </w:r>
          </w:p>
        </w:tc>
      </w:tr>
      <w:tr>
        <w:trPr>
          <w:trHeight w:val="230"/>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Report on Form 8-K filed on December 20, 2005, is incorporated herein by reference.</w:t>
            </w:r>
          </w:p>
        </w:tc>
      </w:tr>
      <w:tr>
        <w:trPr>
          <w:trHeight w:val="863"/>
        </w:trPr>
        <w:tc>
          <w:tcPr>
            <w:tcW w:w="700" w:type="dxa"/>
            <w:vAlign w:val="bottom"/>
          </w:tcPr>
          <w:p>
            <w:pPr>
              <w:spacing w:after="0"/>
              <w:rPr>
                <w:sz w:val="24"/>
                <w:szCs w:val="24"/>
                <w:color w:val="auto"/>
              </w:rPr>
            </w:pPr>
          </w:p>
        </w:tc>
        <w:tc>
          <w:tcPr>
            <w:tcW w:w="10540" w:type="dxa"/>
            <w:vAlign w:val="bottom"/>
          </w:tcPr>
          <w:p>
            <w:pPr>
              <w:ind w:left="4840"/>
              <w:spacing w:after="0"/>
              <w:rPr>
                <w:sz w:val="20"/>
                <w:szCs w:val="20"/>
                <w:color w:val="auto"/>
              </w:rPr>
            </w:pPr>
            <w:r>
              <w:rPr>
                <w:rFonts w:ascii="Arial" w:cs="Arial" w:eastAsia="Arial" w:hAnsi="Arial"/>
                <w:sz w:val="18"/>
                <w:szCs w:val="18"/>
                <w:color w:val="auto"/>
              </w:rPr>
              <w:t>48</w:t>
            </w:r>
          </w:p>
        </w:tc>
      </w:tr>
      <w:tr>
        <w:trPr>
          <w:trHeight w:val="115"/>
        </w:trPr>
        <w:tc>
          <w:tcPr>
            <w:tcW w:w="700" w:type="dxa"/>
            <w:vAlign w:val="bottom"/>
            <w:tcBorders>
              <w:bottom w:val="single" w:sz="8" w:color="9A9A9A"/>
            </w:tcBorders>
          </w:tcPr>
          <w:p>
            <w:pPr>
              <w:spacing w:after="0"/>
              <w:rPr>
                <w:sz w:val="10"/>
                <w:szCs w:val="10"/>
                <w:color w:val="auto"/>
              </w:rPr>
            </w:pPr>
          </w:p>
        </w:tc>
        <w:tc>
          <w:tcPr>
            <w:tcW w:w="10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60" w:type="dxa"/>
            <w:vAlign w:val="bottom"/>
          </w:tcPr>
          <w:p>
            <w:pPr>
              <w:ind w:left="20"/>
              <w:spacing w:after="0"/>
              <w:rPr>
                <w:sz w:val="20"/>
                <w:szCs w:val="20"/>
                <w:color w:val="auto"/>
              </w:rPr>
            </w:pPr>
            <w:r>
              <w:rPr>
                <w:rFonts w:ascii="Arial" w:cs="Arial" w:eastAsia="Arial" w:hAnsi="Arial"/>
                <w:sz w:val="18"/>
                <w:szCs w:val="18"/>
                <w:color w:val="auto"/>
              </w:rPr>
              <w:t>FN 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This document, filed with the Securities and Exchange Commission in Washington, D.C. (file number 1-07183) under Item 14 to our Annual</w:t>
            </w:r>
          </w:p>
        </w:tc>
      </w:tr>
      <w:tr>
        <w:trPr>
          <w:trHeight w:val="188"/>
        </w:trPr>
        <w:tc>
          <w:tcPr>
            <w:tcW w:w="760" w:type="dxa"/>
            <w:vAlign w:val="bottom"/>
          </w:tcPr>
          <w:p>
            <w:pPr>
              <w:spacing w:after="0"/>
              <w:rPr>
                <w:sz w:val="16"/>
                <w:szCs w:val="16"/>
                <w:color w:val="auto"/>
              </w:rPr>
            </w:pP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7"/>
              </w:rPr>
              <w:t>Report on Form 10-K for the year ended December 31, 1994, is incorporated herein by reference. This Exhibit was not filed with the</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Securities and Exchange Commission in an electronic format.</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7</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under Item 14 to our Annual</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1997,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8</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10.9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2008,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9</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10.10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2008,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10</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10.16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2001,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11</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as Exhibit 4.1 to our Current</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May 7, 2004,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12</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as Exhibit 4.2 to our Current</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May 7, 2004,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13</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3"/>
              </w:rPr>
              <w:t>This document, filed with the Securities and Exchange Commission in Washington, D.C. (file number 1-07183) as Exhibits 10.21-10.23 to</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our Annual Report on Form 10-K for the year ended December 31, 2004,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14</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10.24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May 24, 2006,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15</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10.28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June 23, 2008,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16</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10.25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period ended June 30, 2009,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17</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10.26 to our</w:t>
            </w:r>
          </w:p>
        </w:tc>
      </w:tr>
      <w:tr>
        <w:trPr>
          <w:trHeight w:val="188"/>
        </w:trPr>
        <w:tc>
          <w:tcPr>
            <w:tcW w:w="760" w:type="dxa"/>
            <w:vAlign w:val="bottom"/>
          </w:tcPr>
          <w:p>
            <w:pPr>
              <w:spacing w:after="0"/>
              <w:rPr>
                <w:sz w:val="16"/>
                <w:szCs w:val="16"/>
                <w:color w:val="auto"/>
              </w:rPr>
            </w:pP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Quarterly Report on Form 10-Q for the period ended March 31, 2013, for the period ended March 31, 2013, is incorporated herein by</w:t>
            </w:r>
          </w:p>
        </w:tc>
      </w:tr>
      <w:tr>
        <w:trPr>
          <w:trHeight w:val="230"/>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18</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10.27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June 4, 2013,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19</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10.1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August 8, 2013,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20</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10.29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Amended Annual Report on Form 10-K/A for the year ended December 31, 2013,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21</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10.30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July 16, 2014,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22</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5"/>
              </w:rPr>
              <w:t>This document, filed with the Securities and Exchange Commission in Washington, D.C. (file number 1-07183) as Exhibits 10.31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October 17, 2014,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23</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10.34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2014,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24</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10.35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period ended June 30, 2015,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25</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10.32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October 17, 2014,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26</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10.37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period ended June 30, 2016, is incorporated herein by reference.</w:t>
            </w:r>
          </w:p>
        </w:tc>
      </w:tr>
      <w:tr>
        <w:trPr>
          <w:trHeight w:val="188"/>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FN 27</w:t>
            </w:r>
          </w:p>
        </w:tc>
        <w:tc>
          <w:tcPr>
            <w:tcW w:w="10480" w:type="dxa"/>
            <w:vAlign w:val="bottom"/>
          </w:tcPr>
          <w:p>
            <w:pPr>
              <w:ind w:left="26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10.38 to our</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period ended September 30, 2016, is incorporated herein by reference.</w:t>
            </w:r>
          </w:p>
        </w:tc>
      </w:tr>
      <w:tr>
        <w:trPr>
          <w:trHeight w:val="877"/>
        </w:trPr>
        <w:tc>
          <w:tcPr>
            <w:tcW w:w="760" w:type="dxa"/>
            <w:vAlign w:val="bottom"/>
          </w:tcPr>
          <w:p>
            <w:pPr>
              <w:spacing w:after="0"/>
              <w:rPr>
                <w:sz w:val="24"/>
                <w:szCs w:val="24"/>
                <w:color w:val="auto"/>
              </w:rPr>
            </w:pPr>
          </w:p>
        </w:tc>
        <w:tc>
          <w:tcPr>
            <w:tcW w:w="10480" w:type="dxa"/>
            <w:vAlign w:val="bottom"/>
          </w:tcPr>
          <w:p>
            <w:pPr>
              <w:ind w:left="4780"/>
              <w:spacing w:after="0"/>
              <w:rPr>
                <w:sz w:val="20"/>
                <w:szCs w:val="20"/>
                <w:color w:val="auto"/>
              </w:rPr>
            </w:pPr>
            <w:r>
              <w:rPr>
                <w:rFonts w:ascii="Arial" w:cs="Arial" w:eastAsia="Arial" w:hAnsi="Arial"/>
                <w:sz w:val="18"/>
                <w:szCs w:val="18"/>
                <w:color w:val="auto"/>
              </w:rPr>
              <w:t>49</w:t>
            </w:r>
          </w:p>
        </w:tc>
      </w:tr>
      <w:tr>
        <w:trPr>
          <w:trHeight w:val="115"/>
        </w:trPr>
        <w:tc>
          <w:tcPr>
            <w:tcW w:w="760" w:type="dxa"/>
            <w:vAlign w:val="bottom"/>
            <w:tcBorders>
              <w:bottom w:val="single" w:sz="8" w:color="9A9A9A"/>
            </w:tcBorders>
          </w:tcPr>
          <w:p>
            <w:pPr>
              <w:spacing w:after="0"/>
              <w:rPr>
                <w:sz w:val="10"/>
                <w:szCs w:val="10"/>
                <w:color w:val="auto"/>
              </w:rPr>
            </w:pPr>
          </w:p>
        </w:tc>
        <w:tc>
          <w:tcPr>
            <w:tcW w:w="10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9" w:name="page50"/>
    <w:bookmarkEnd w:id="49"/>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28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10.39 to our Annual Report on Form 10-K for the year ended December 31, 2016,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29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10.40 to our Annual Report on Form 10-K for the year ended December 31, 2016,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30</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10.41 to our Annual Report on Form 10-K for the year ended December 31, 2016, is incorporated herein by reference.</w:t>
      </w:r>
    </w:p>
    <w:p>
      <w:pPr>
        <w:spacing w:after="0" w:line="13" w:lineRule="exact"/>
        <w:rPr>
          <w:sz w:val="20"/>
          <w:szCs w:val="20"/>
          <w:color w:val="auto"/>
        </w:rPr>
      </w:pPr>
    </w:p>
    <w:p>
      <w:pPr>
        <w:ind w:left="540" w:right="100" w:hanging="957"/>
        <w:spacing w:after="0" w:line="256" w:lineRule="auto"/>
        <w:tabs>
          <w:tab w:leader="none" w:pos="520" w:val="left"/>
        </w:tabs>
        <w:rPr>
          <w:sz w:val="20"/>
          <w:szCs w:val="20"/>
          <w:color w:val="auto"/>
        </w:rPr>
      </w:pPr>
      <w:r>
        <w:rPr>
          <w:rFonts w:ascii="Arial" w:cs="Arial" w:eastAsia="Arial" w:hAnsi="Arial"/>
          <w:sz w:val="18"/>
          <w:szCs w:val="18"/>
          <w:color w:val="auto"/>
        </w:rPr>
        <w:t>FN 31</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10.42 to our Quarterly Report on Form 10-Q for the period ended September 30, 2018, is incorporated herein by reference.</w:t>
      </w:r>
    </w:p>
    <w:p>
      <w:pPr>
        <w:spacing w:after="0" w:line="1"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32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10.43 to our Annual Report on Form 10-K for the year ended December 31, 2018,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33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10.44 to our Annual Report on Form 10-K for the year ended December 31, 2018, is incorporated herein by reference.</w:t>
      </w:r>
    </w:p>
    <w:p>
      <w:pPr>
        <w:spacing w:after="0" w:line="13" w:lineRule="exact"/>
        <w:rPr>
          <w:sz w:val="20"/>
          <w:szCs w:val="20"/>
          <w:color w:val="auto"/>
        </w:rPr>
      </w:pPr>
    </w:p>
    <w:p>
      <w:pPr>
        <w:ind w:left="540" w:right="100" w:hanging="957"/>
        <w:spacing w:after="0" w:line="256" w:lineRule="auto"/>
        <w:tabs>
          <w:tab w:leader="none" w:pos="520" w:val="left"/>
        </w:tabs>
        <w:rPr>
          <w:sz w:val="20"/>
          <w:szCs w:val="20"/>
          <w:color w:val="auto"/>
        </w:rPr>
      </w:pPr>
      <w:r>
        <w:rPr>
          <w:rFonts w:ascii="Arial" w:cs="Arial" w:eastAsia="Arial" w:hAnsi="Arial"/>
          <w:sz w:val="18"/>
          <w:szCs w:val="18"/>
          <w:color w:val="auto"/>
        </w:rPr>
        <w:t>FN 34</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10.45 to our Quarterly Report on Form 10-Q for the period ended September 30, 2019, is incorporated herein by reference.</w:t>
      </w:r>
    </w:p>
    <w:p>
      <w:pPr>
        <w:spacing w:after="0" w:line="1" w:lineRule="exact"/>
        <w:rPr>
          <w:sz w:val="20"/>
          <w:szCs w:val="20"/>
          <w:color w:val="auto"/>
        </w:rPr>
      </w:pPr>
    </w:p>
    <w:p>
      <w:pPr>
        <w:ind w:left="540" w:right="100" w:hanging="957"/>
        <w:spacing w:after="0" w:line="256" w:lineRule="auto"/>
        <w:tabs>
          <w:tab w:leader="none" w:pos="520" w:val="left"/>
        </w:tabs>
        <w:rPr>
          <w:sz w:val="20"/>
          <w:szCs w:val="20"/>
          <w:color w:val="auto"/>
        </w:rPr>
      </w:pPr>
      <w:r>
        <w:rPr>
          <w:rFonts w:ascii="Arial" w:cs="Arial" w:eastAsia="Arial" w:hAnsi="Arial"/>
          <w:sz w:val="18"/>
          <w:szCs w:val="18"/>
          <w:color w:val="auto"/>
        </w:rPr>
        <w:t>FN 35</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10.46 to our Quarterly Report on Form 10-Q for the period ended September 30, 2019, is incorporated herein by reference.</w:t>
      </w:r>
    </w:p>
    <w:p>
      <w:pPr>
        <w:spacing w:after="0" w:line="1"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36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10.33 to our Current Report on Form 8-K filed on October 17, 2014, is incorporated herein by reference.</w:t>
      </w:r>
    </w:p>
    <w:p>
      <w:pPr>
        <w:spacing w:after="0" w:line="13" w:lineRule="exact"/>
        <w:rPr>
          <w:sz w:val="20"/>
          <w:szCs w:val="20"/>
          <w:color w:val="auto"/>
        </w:rPr>
      </w:pPr>
    </w:p>
    <w:p>
      <w:pPr>
        <w:ind w:left="540" w:hanging="957"/>
        <w:spacing w:after="0" w:line="235" w:lineRule="auto"/>
        <w:tabs>
          <w:tab w:leader="none" w:pos="520" w:val="left"/>
        </w:tabs>
        <w:rPr>
          <w:sz w:val="20"/>
          <w:szCs w:val="20"/>
          <w:color w:val="auto"/>
        </w:rPr>
      </w:pPr>
      <w:r>
        <w:rPr>
          <w:rFonts w:ascii="Arial" w:cs="Arial" w:eastAsia="Arial" w:hAnsi="Arial"/>
          <w:sz w:val="18"/>
          <w:szCs w:val="18"/>
          <w:color w:val="auto"/>
        </w:rPr>
        <w:t>FN 37</w:t>
      </w:r>
      <w:r>
        <w:rPr>
          <w:sz w:val="20"/>
          <w:szCs w:val="20"/>
          <w:color w:val="auto"/>
        </w:rPr>
        <w:tab/>
      </w:r>
      <w:r>
        <w:rPr>
          <w:rFonts w:ascii="Arial" w:cs="Arial" w:eastAsia="Arial" w:hAnsi="Arial"/>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38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10.47 to our Annual Report on Form 10-K for the year ended December 31, 2019,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39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10.48 to our Quarterly Report on Form 10-Q for the period ended March 31, 2021,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40</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10.49 to our Annual Report on Form 10-K for the year ended December 31, 2021,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41</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10.50 to our Annual Report on Form 10-K for the year ended December 31, 2021,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42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10.51 to our Quarterly Report on Form 10-Q for the year ended March 31, 2022,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43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10.52 to our Quarterly Report on Form 10-Q for the year ended September 30, 2022, is incorporated herein by reference.</w:t>
      </w:r>
    </w:p>
    <w:p>
      <w:pPr>
        <w:spacing w:after="0" w:line="13" w:lineRule="exact"/>
        <w:rPr>
          <w:sz w:val="20"/>
          <w:szCs w:val="20"/>
          <w:color w:val="auto"/>
        </w:rPr>
      </w:pPr>
    </w:p>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44</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10.53 to our Quarterly Report on Form 10-Q for the year ended June 30, 2023,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935" w:right="75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TEJON RANCH CO.</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68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688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688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5750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S. Bielli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575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1">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Brett A. Brown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9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5750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2">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D. Velasquez</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Accounting Officer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4880" w:space="720"/>
            <w:col w:w="5600"/>
          </w:cols>
          <w:pgMar w:left="320" w:top="891" w:right="37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00"/>
          </w:cols>
          <w:pgMar w:left="320" w:top="891" w:right="37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Dated:   November 7,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S. Bielli</w:t>
            </w:r>
          </w:p>
        </w:tc>
      </w:tr>
      <w:tr>
        <w:trPr>
          <w:trHeight w:val="222"/>
        </w:trPr>
        <w:tc>
          <w:tcPr>
            <w:tcW w:w="5920" w:type="dxa"/>
            <w:vAlign w:val="bottom"/>
          </w:tcPr>
          <w:p>
            <w:pPr>
              <w:spacing w:after="0"/>
              <w:rPr>
                <w:sz w:val="19"/>
                <w:szCs w:val="19"/>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Gregory S. Bielli</w:t>
            </w:r>
          </w:p>
        </w:tc>
      </w:tr>
      <w:tr>
        <w:trPr>
          <w:trHeight w:val="230"/>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20"/>
          </w:cols>
          <w:pgMar w:left="320" w:top="891"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Brett A. Brown,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Dated:   November 7, 2023</w:t>
            </w:r>
          </w:p>
        </w:tc>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Brett A. Brown</w:t>
            </w:r>
          </w:p>
        </w:tc>
      </w:tr>
      <w:tr>
        <w:trPr>
          <w:trHeight w:val="222"/>
        </w:trPr>
        <w:tc>
          <w:tcPr>
            <w:tcW w:w="4240" w:type="dxa"/>
            <w:vAlign w:val="bottom"/>
          </w:tcPr>
          <w:p>
            <w:pPr>
              <w:spacing w:after="0"/>
              <w:rPr>
                <w:sz w:val="19"/>
                <w:szCs w:val="19"/>
                <w:color w:val="auto"/>
              </w:rPr>
            </w:pPr>
          </w:p>
        </w:tc>
        <w:tc>
          <w:tcPr>
            <w:tcW w:w="6960" w:type="dxa"/>
            <w:vAlign w:val="bottom"/>
          </w:tcPr>
          <w:p>
            <w:pPr>
              <w:ind w:left="900"/>
              <w:spacing w:after="0"/>
              <w:rPr>
                <w:sz w:val="20"/>
                <w:szCs w:val="20"/>
                <w:color w:val="auto"/>
              </w:rPr>
            </w:pPr>
            <w:r>
              <w:rPr>
                <w:rFonts w:ascii="Arial" w:cs="Arial" w:eastAsia="Arial" w:hAnsi="Arial"/>
                <w:sz w:val="18"/>
                <w:szCs w:val="18"/>
                <w:color w:val="auto"/>
              </w:rPr>
              <w:t>Brett A. Brown</w:t>
            </w:r>
          </w:p>
        </w:tc>
      </w:tr>
      <w:tr>
        <w:trPr>
          <w:trHeight w:val="230"/>
        </w:trPr>
        <w:tc>
          <w:tcPr>
            <w:tcW w:w="4240" w:type="dxa"/>
            <w:vAlign w:val="bottom"/>
          </w:tcPr>
          <w:p>
            <w:pPr>
              <w:spacing w:after="0"/>
              <w:rPr>
                <w:sz w:val="20"/>
                <w:szCs w:val="20"/>
                <w:color w:val="auto"/>
              </w:rPr>
            </w:pPr>
          </w:p>
        </w:tc>
        <w:tc>
          <w:tcPr>
            <w:tcW w:w="6960" w:type="dxa"/>
            <w:vAlign w:val="bottom"/>
          </w:tcPr>
          <w:p>
            <w:pPr>
              <w:ind w:left="9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891" w:right="359" w:bottom="1440" w:gutter="0" w:footer="0" w:header="0"/>
        </w:sectPr>
      </w:pPr>
    </w:p>
    <w:bookmarkStart w:id="53" w:name="page54"/>
    <w:bookmarkEnd w:id="53"/>
    <w:p>
      <w:pPr>
        <w:ind w:left="51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97" w:lineRule="exact"/>
        <w:rPr>
          <w:sz w:val="20"/>
          <w:szCs w:val="20"/>
          <w:color w:val="auto"/>
        </w:rPr>
      </w:pPr>
    </w:p>
    <w:p>
      <w:pPr>
        <w:ind w:left="660" w:right="72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September 30, 2023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8" w:lineRule="exact"/>
        <w:rPr>
          <w:sz w:val="20"/>
          <w:szCs w:val="20"/>
          <w:color w:val="auto"/>
        </w:rPr>
      </w:pPr>
    </w:p>
    <w:p>
      <w:pPr>
        <w:ind w:left="20"/>
        <w:spacing w:after="0"/>
        <w:tabs>
          <w:tab w:leader="none" w:pos="3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7,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691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Bielli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691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A. Brown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080"/>
      </w:cols>
      <w:pgMar w:left="320" w:top="89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1."/>
      <w:numFmt w:val="decimal"/>
      <w:start w:val="4"/>
    </w:lvl>
  </w:abstractNum>
  <w:abstractNum w:abstractNumId="4">
    <w:nsid w:val="62BBD95A"/>
    <w:multiLevelType w:val="hybridMultilevel"/>
    <w:lvl w:ilvl="0">
      <w:lvlJc w:val="left"/>
      <w:lvlText w:val="%1."/>
      <w:numFmt w:val="decimal"/>
      <w:start w:val="5"/>
    </w:lvl>
  </w:abstractNum>
  <w:abstractNum w:abstractNumId="5">
    <w:nsid w:val="436C6125"/>
    <w:multiLevelType w:val="hybridMultilevel"/>
    <w:lvl w:ilvl="0">
      <w:lvlJc w:val="left"/>
      <w:lvlText w:val="%1."/>
      <w:numFmt w:val="decimal"/>
      <w:start w:val="8"/>
    </w:lvl>
  </w:abstractNum>
  <w:abstractNum w:abstractNumId="6">
    <w:nsid w:val="628C895D"/>
    <w:multiLevelType w:val="hybridMultilevel"/>
    <w:lvl w:ilvl="0">
      <w:lvlJc w:val="left"/>
      <w:lvlText w:val="%1."/>
      <w:numFmt w:val="decimal"/>
      <w:start w:val="9"/>
    </w:lvl>
  </w:abstractNum>
  <w:abstractNum w:abstractNumId="7">
    <w:nsid w:val="333AB105"/>
    <w:multiLevelType w:val="hybridMultilevel"/>
    <w:lvl w:ilvl="0">
      <w:lvlJc w:val="left"/>
      <w:lvlText w:val="%1."/>
      <w:numFmt w:val="decimal"/>
      <w:start w:val="10"/>
    </w:lvl>
  </w:abstractNum>
  <w:abstractNum w:abstractNumId="8">
    <w:nsid w:val="721DA317"/>
    <w:multiLevelType w:val="hybridMultilevel"/>
    <w:lvl w:ilvl="0">
      <w:lvlJc w:val="left"/>
      <w:lvlText w:val="%1."/>
      <w:numFmt w:val="decimal"/>
      <w:start w:val="11"/>
    </w:lvl>
  </w:abstractNum>
  <w:abstractNum w:abstractNumId="9">
    <w:nsid w:val="2443A858"/>
    <w:multiLevelType w:val="hybridMultilevel"/>
    <w:lvl w:ilvl="0">
      <w:lvlJc w:val="left"/>
      <w:lvlText w:val="%1."/>
      <w:numFmt w:val="decimal"/>
      <w:start w:val="12"/>
    </w:lvl>
  </w:abstractNum>
  <w:abstractNum w:abstractNumId="10">
    <w:nsid w:val="2D1D5AE9"/>
    <w:multiLevelType w:val="hybridMultilevel"/>
    <w:lvl w:ilvl="0">
      <w:lvlJc w:val="left"/>
      <w:lvlText w:val="•"/>
      <w:numFmt w:val="bullet"/>
      <w:start w:val="1"/>
    </w:lvl>
    <w:lvl w:ilvl="1">
      <w:lvlJc w:val="left"/>
      <w:lvlText w:val="•"/>
      <w:numFmt w:val="bullet"/>
      <w:start w:val="1"/>
    </w:lvl>
  </w:abstractNum>
  <w:abstractNum w:abstractNumId="11">
    <w:nsid w:val="6763845E"/>
    <w:multiLevelType w:val="hybridMultilevel"/>
    <w:lvl w:ilvl="0">
      <w:lvlJc w:val="left"/>
      <w:lvlText w:val="•"/>
      <w:numFmt w:val="bullet"/>
      <w:start w:val="1"/>
    </w:lvl>
    <w:lvl w:ilvl="1">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5"/>
    </w:lvl>
    <w:lvl w:ilvl="1">
      <w:lvlJc w:val="left"/>
      <w:lvlText w:val="***"/>
      <w:numFmt w:val="bullet"/>
      <w:start w:val="1"/>
    </w:lvl>
  </w:abstractNum>
  <w:abstractNum w:abstractNumId="15">
    <w:nsid w:val="4353D0CD"/>
    <w:multiLevelType w:val="hybridMultilevel"/>
    <w:lvl w:ilvl="0">
      <w:lvlJc w:val="left"/>
      <w:lvlText w:val="•"/>
      <w:numFmt w:val="bullet"/>
      <w:start w:val="1"/>
    </w:lvl>
    <w:lvl w:ilvl="1">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lvl w:ilvl="1">
      <w:lvlJc w:val="left"/>
      <w:lvlText w:val="1"/>
      <w:numFmt w:val="bullet"/>
      <w:start w:val="1"/>
    </w:lvl>
  </w:abstractNum>
  <w:abstractNum w:abstractNumId="25">
    <w:nsid w:val="1E7FF521"/>
    <w:multiLevelType w:val="hybridMultilevel"/>
    <w:lvl w:ilvl="0">
      <w:lvlJc w:val="left"/>
      <w:lvlText w:val="•"/>
      <w:numFmt w:val="bullet"/>
      <w:start w:val="1"/>
    </w:lvl>
    <w:lvl w:ilvl="1">
      <w:lvlJc w:val="left"/>
      <w:lvlText w:val="1"/>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2"/>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04"/>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112" Type="http://schemas.openxmlformats.org/officeDocument/2006/relationships/image" Target="media/image61.png"/><Relationship Id="rId113" Type="http://schemas.openxmlformats.org/officeDocument/2006/relationships/image" Target="media/image62.png"/><Relationship Id="rId114" Type="http://schemas.openxmlformats.org/officeDocument/2006/relationships/image" Target="media/image63.png"/><Relationship Id="rId115" Type="http://schemas.openxmlformats.org/officeDocument/2006/relationships/image" Target="media/image64.png"/><Relationship Id="rId116" Type="http://schemas.openxmlformats.org/officeDocument/2006/relationships/image" Target="media/image65.png"/><Relationship Id="rId117" Type="http://schemas.openxmlformats.org/officeDocument/2006/relationships/image" Target="media/image66.png"/><Relationship Id="rId118" Type="http://schemas.openxmlformats.org/officeDocument/2006/relationships/image" Target="media/image67.png"/><Relationship Id="rId119" Type="http://schemas.openxmlformats.org/officeDocument/2006/relationships/image" Target="media/image68.png"/><Relationship Id="rId120" Type="http://schemas.openxmlformats.org/officeDocument/2006/relationships/image" Target="media/image69.png"/><Relationship Id="rId121" Type="http://schemas.openxmlformats.org/officeDocument/2006/relationships/image" Target="media/image70.png"/><Relationship Id="rId122" Type="http://schemas.openxmlformats.org/officeDocument/2006/relationships/image" Target="media/image71.png"/><Relationship Id="rId123" Type="http://schemas.openxmlformats.org/officeDocument/2006/relationships/image" Target="media/image72.png"/><Relationship Id="rId124" Type="http://schemas.openxmlformats.org/officeDocument/2006/relationships/image" Target="media/image73.png"/><Relationship Id="rId66" Type="http://schemas.openxmlformats.org/officeDocument/2006/relationships/hyperlink" Target="http://www.sec.gov/Archives/edgar/data/96869/000009686921000016/ex31restatedcertificateo.htm" TargetMode="External"/><Relationship Id="rId67" Type="http://schemas.openxmlformats.org/officeDocument/2006/relationships/hyperlink" Target="http://www.sec.gov/Archives/edgar/data/96869/000119312520151616/d937443dex991.htm" TargetMode="External"/><Relationship Id="rId68" Type="http://schemas.openxmlformats.org/officeDocument/2006/relationships/hyperlink" Target="http://www.sec.gov/Archives/edgar/data/96869/000119312505245123/dex41.htm" TargetMode="External"/><Relationship Id="rId69" Type="http://schemas.openxmlformats.org/officeDocument/2006/relationships/hyperlink" Target="http://www.sec.gov/Archives/edgar/data/96869/000119312519119877/d718363dex46.htm" TargetMode="External"/><Relationship Id="rId70" Type="http://schemas.openxmlformats.org/officeDocument/2006/relationships/hyperlink" Target="http://www.sec.gov/Archives/edgar/data/96869/0000096869-98-000002.txt" TargetMode="External"/><Relationship Id="rId71" Type="http://schemas.openxmlformats.org/officeDocument/2006/relationships/hyperlink" Target="http://www.sec.gov/Archives/edgar/data/96869/000119312509042772/dex109.htm" TargetMode="External"/><Relationship Id="rId72" Type="http://schemas.openxmlformats.org/officeDocument/2006/relationships/hyperlink" Target="http://www.sec.gov/Archives/edgar/data/96869/000119312509042772/dex1010.htm" TargetMode="External"/><Relationship Id="rId73" Type="http://schemas.openxmlformats.org/officeDocument/2006/relationships/hyperlink" Target="http://www.sec.gov/Archives/edgar/data/96869/000102140802004535/dex1016.txt" TargetMode="External"/><Relationship Id="rId74" Type="http://schemas.openxmlformats.org/officeDocument/2006/relationships/hyperlink" Target="http://www.sec.gov/Archives/edgar/data/96869/000119312504082310/dex41.htm" TargetMode="External"/><Relationship Id="rId75" Type="http://schemas.openxmlformats.org/officeDocument/2006/relationships/hyperlink" Target="http://www.sec.gov/Archives/edgar/data/96869/000119312504082310/dex42.htm" TargetMode="External"/><Relationship Id="rId76" Type="http://schemas.openxmlformats.org/officeDocument/2006/relationships/hyperlink" Target="http://www.sec.gov/Archives/edgar/data/96869/000119312505051499/dex1021.htm" TargetMode="External"/><Relationship Id="rId77" Type="http://schemas.openxmlformats.org/officeDocument/2006/relationships/hyperlink" Target="http://www.sec.gov/Archives/edgar/data/96869/000119312505051499/dex1023.htm" TargetMode="External"/><Relationship Id="rId78" Type="http://schemas.openxmlformats.org/officeDocument/2006/relationships/hyperlink" Target="http://www.sec.gov/Archives/edgar/data/96869/000119312505051499/dex1022.htm" TargetMode="External"/><Relationship Id="rId79" Type="http://schemas.openxmlformats.org/officeDocument/2006/relationships/hyperlink" Target="http://www.sec.gov/Archives/edgar/data/96869/000119312506118520/dex1024.htm" TargetMode="External"/><Relationship Id="rId80" Type="http://schemas.openxmlformats.org/officeDocument/2006/relationships/hyperlink" Target="http://www.sec.gov/Archives/edgar/data/96869/000119312508138009/dex1028.htm" TargetMode="External"/><Relationship Id="rId81" Type="http://schemas.openxmlformats.org/officeDocument/2006/relationships/hyperlink" Target="http://www.sec.gov/Archives/edgar/data/96869/000119312509170594/dex1025.htm" TargetMode="External"/><Relationship Id="rId82" Type="http://schemas.openxmlformats.org/officeDocument/2006/relationships/hyperlink" Target="http://www.sec.gov/Archives/edgar/data/96869/000144530513001209/exhibit1026-execagreementa.htm" TargetMode="External"/><Relationship Id="rId83" Type="http://schemas.openxmlformats.org/officeDocument/2006/relationships/hyperlink" Target="http://www.sec.gov/Archives/edgar/data/96869/000119312513246605/d549609dex1027.htm" TargetMode="External"/><Relationship Id="rId84" Type="http://schemas.openxmlformats.org/officeDocument/2006/relationships/hyperlink" Target="http://www.sec.gov/Archives/edgar/data/96869/000119312513326495/d581835dex101.htm" TargetMode="External"/><Relationship Id="rId85" Type="http://schemas.openxmlformats.org/officeDocument/2006/relationships/hyperlink" Target="http://www.sec.gov/Archives/edgar/data/96869/000009686914000009/exhibit1029tmvamendments20.htm" TargetMode="External"/><Relationship Id="rId88" Type="http://schemas.openxmlformats.org/officeDocument/2006/relationships/hyperlink" Target="http://www.sec.gov/Archives/edgar/data/96869/000119312514270067/d758856dex1030.htm" TargetMode="External"/><Relationship Id="rId89" Type="http://schemas.openxmlformats.org/officeDocument/2006/relationships/hyperlink" Target="http://www.sec.gov/Archives/edgar/data/96869/000119312514375013/d806135dex1031.htm" TargetMode="External"/><Relationship Id="rId90" Type="http://schemas.openxmlformats.org/officeDocument/2006/relationships/hyperlink" Target="http://www.sec.gov/Archives/edgar/data/96869/000119312514375013/d806135dex1032.htm" TargetMode="External"/><Relationship Id="rId91" Type="http://schemas.openxmlformats.org/officeDocument/2006/relationships/hyperlink" Target="http://www.sec.gov/Archives/edgar/data/96869/000119312514375013/d806135dex1033.htm" TargetMode="External"/><Relationship Id="rId92" Type="http://schemas.openxmlformats.org/officeDocument/2006/relationships/hyperlink" Target="http://www.sec.gov/Archives/edgar/data/96869/000009686915000003/exhibit1034calpineagreemen.htm" TargetMode="External"/><Relationship Id="rId93" Type="http://schemas.openxmlformats.org/officeDocument/2006/relationships/hyperlink" Target="http://www.sec.gov/Archives/edgar/data/96869/000009686915000010/ex1035q32015.htm" TargetMode="External"/><Relationship Id="rId94" Type="http://schemas.openxmlformats.org/officeDocument/2006/relationships/hyperlink" Target="http://www.sec.gov/Archives/edgar/data/96869/000009686916000017/ex1037limitedliabilityagre.htm" TargetMode="External"/><Relationship Id="rId95" Type="http://schemas.openxmlformats.org/officeDocument/2006/relationships/hyperlink" Target="http://www.sec.gov/Archives/edgar/data/96869/000009686916000019/ex1038llagreementoftrc-mrc1.htm" TargetMode="External"/><Relationship Id="rId96" Type="http://schemas.openxmlformats.org/officeDocument/2006/relationships/hyperlink" Target="http://www.sec.gov/Archives/edgar/data/96869/000009686917000002/exhibit1039centennialredem.htm" TargetMode="External"/><Relationship Id="rId97" Type="http://schemas.openxmlformats.org/officeDocument/2006/relationships/hyperlink" Target="http://www.sec.gov/Archives/edgar/data/96869/000009686917000002/exhibit1040firstamendmentt.htm" TargetMode="External"/><Relationship Id="rId98" Type="http://schemas.openxmlformats.org/officeDocument/2006/relationships/hyperlink" Target="http://www.sec.gov/Archives/edgar/data/96869/000009686917000002/exhibit1041secondamendment.htm" TargetMode="External"/><Relationship Id="rId99" Type="http://schemas.openxmlformats.org/officeDocument/2006/relationships/hyperlink" Target="http://www.sec.gov/Archives/edgar/data/96869/000009686918000015/ex1042trcmrc3llc.htm" TargetMode="External"/><Relationship Id="rId100" Type="http://schemas.openxmlformats.org/officeDocument/2006/relationships/hyperlink" Target="http://www.sec.gov/Archives/edgar/data/96869/000009686919000004/exhibit1043201810k.htm" TargetMode="External"/><Relationship Id="rId101" Type="http://schemas.openxmlformats.org/officeDocument/2006/relationships/hyperlink" Target="http://www.sec.gov/Archives/edgar/data/96869/000009686919000004/exhibit1044201810k.htm" TargetMode="External"/><Relationship Id="rId102" Type="http://schemas.openxmlformats.org/officeDocument/2006/relationships/hyperlink" Target="http://www.sec.gov/Archives/edgar/data/96869/000009686919000014/ex1046aloc.htm" TargetMode="External"/><Relationship Id="rId103" Type="http://schemas.openxmlformats.org/officeDocument/2006/relationships/hyperlink" Target="http://www.sec.gov/Archives/edgar/data/96869/000009686919000014/ex1045atn.htm" TargetMode="External"/><Relationship Id="rId104" Type="http://schemas.openxmlformats.org/officeDocument/2006/relationships/hyperlink" Target="http://www.sec.gov/Archives/edgar/data/96869/000009686920000007/exhibit1047-gregbseverance.htm" TargetMode="External"/><Relationship Id="rId105" Type="http://schemas.openxmlformats.org/officeDocument/2006/relationships/hyperlink" Target="http://www.sec.gov/Archives/edgar/data/96869/000009686921000011/ex1048mrc4llc.htm" TargetMode="External"/><Relationship Id="rId106" Type="http://schemas.openxmlformats.org/officeDocument/2006/relationships/hyperlink" Target="http://www.sec.gov/Archives/edgar/data/96869/000009686922000005/exhibit1048centennialcrf.htm" TargetMode="External"/><Relationship Id="rId107" Type="http://schemas.openxmlformats.org/officeDocument/2006/relationships/hyperlink" Target="http://www.sec.gov/Archives/edgar/data/96869/000009686922000005/exhibit1050trc-mrcmultii.htm" TargetMode="External"/><Relationship Id="rId108" Type="http://schemas.openxmlformats.org/officeDocument/2006/relationships/hyperlink" Target="http://www.sec.gov/Archives/edgar/data/96869/000009686922000009/ex1051mrc5.htm" TargetMode="External"/><Relationship Id="rId109" Type="http://schemas.openxmlformats.org/officeDocument/2006/relationships/hyperlink" Target="http://www.sec.gov/Archives/edgar/data/96869/000009686922000012/ex1052creditagreementbof.htm" TargetMode="External"/><Relationship Id="rId110" Type="http://schemas.openxmlformats.org/officeDocument/2006/relationships/hyperlink" Target="http://www.sec.gov/Archives/edgar/data/96869/000009686923000014/ex1053mhsevag.htm" TargetMode="External"/><Relationship Id="rId111" Type="http://schemas.openxmlformats.org/officeDocument/2006/relationships/hyperlink" Target="http://www.sec.gov/ix?doc=/Archives/edgar/data/96869/000119312523079260/d48710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2023-11-07T12:58:59Z</dcterms:created>
  <dcterms:modified xsi:type="dcterms:W3CDTF">2023-11-07T12:58:59Z</dcterms:modified>
</cp:coreProperties>
</file>