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uto" w:line="288" w:before="80" w:after="283"/>
        <w:jc w:val="left"/>
        <w:rPr>
          <w:color w:val="000000"/>
        </w:rPr>
      </w:pPr>
      <w:r>
        <w:rPr>
          <w:color w:val="000000"/>
        </w:rPr>
        <w:t> </w:t>
      </w:r>
      <w:r>
        <w:rPr>
          <w:rFonts w:ascii="Times New Roman;serif" w:hAnsi="Times New Roman;serif"/>
          <w:b w:val="false"/>
          <w:color w:val="000000"/>
          <w:sz w:val="18"/>
        </w:rPr>
        <w:t>(Mark One)</w:t>
      </w:r>
    </w:p>
    <w:p>
      <w:pPr>
        <w:pStyle w:val="TextBody"/>
        <w:bidi w:val="0"/>
        <w:spacing w:before="0" w:after="0"/>
        <w:jc w:val="left"/>
        <w:rPr/>
      </w:pPr>
      <w:r>
        <w:rPr/>
      </w:r>
    </w:p>
    <w:p>
      <w:pPr>
        <w:pStyle w:val="TextBody"/>
        <w:bidi w:val="0"/>
        <w:spacing w:lineRule="auto" w:line="288" w:before="0" w:after="0"/>
        <w:jc w:val="center"/>
        <w:rPr/>
      </w:pPr>
      <w:r>
        <w:rPr>
          <w:color w:val="000000"/>
        </w:rPr>
        <w:t xml:space="preserve">☒ </w:t>
      </w:r>
      <w:r>
        <w:rPr>
          <w:rFonts w:ascii="Times New Roman;serif" w:hAnsi="Times New Roman;serif"/>
          <w:b/>
          <w:color w:val="000000"/>
          <w:sz w:val="18"/>
        </w:rPr>
        <w:t xml:space="preserve">QUARTERLY REPORT PURSUANT TO SECTION 13 OR 15(d) OF THE SECURITIES EXCHANGE ACT OF 1934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June 30, 2026 </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1-07183 </w:t>
      </w:r>
    </w:p>
    <w:p>
      <w:pPr>
        <w:pStyle w:val="TextBody"/>
        <w:bidi w:val="0"/>
        <w:spacing w:before="180" w:after="283"/>
        <w:jc w:val="center"/>
        <w:rPr/>
      </w:pPr>
      <w:r>
        <w:rPr/>
        <w:drawing>
          <wp:inline distT="0" distB="0" distL="0" distR="0">
            <wp:extent cx="7048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4850" cy="704850"/>
                    </a:xfrm>
                    <a:prstGeom prst="rect">
                      <a:avLst/>
                    </a:prstGeom>
                  </pic:spPr>
                </pic:pic>
              </a:graphicData>
            </a:graphic>
          </wp:inline>
        </w:drawing>
      </w:r>
      <w:bookmarkStart w:id="0" w:name="i-1"/>
      <w:bookmarkEnd w:id="0"/>
    </w:p>
    <w:p>
      <w:pPr>
        <w:pStyle w:val="TextBody"/>
        <w:bidi w:val="0"/>
        <w:spacing w:lineRule="auto" w:line="288" w:before="80" w:after="283"/>
        <w:jc w:val="center"/>
        <w:rPr>
          <w:rFonts w:ascii="Times New Roman;serif" w:hAnsi="Times New Roman;serif"/>
          <w:b/>
          <w:color w:val="000000"/>
          <w:sz w:val="44"/>
        </w:rPr>
      </w:pPr>
      <w:r>
        <w:rPr>
          <w:rFonts w:ascii="Times New Roman;serif" w:hAnsi="Times New Roman;serif"/>
          <w:b/>
          <w:color w:val="000000"/>
          <w:sz w:val="44"/>
        </w:rPr>
        <w:t xml:space="preserve">TEJON RANCH CO.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Delaware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77-0196136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4436 Lebec Road, P.O. Box 1000, Tejon Ranch, California 93243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(661) 248-3000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registered pursuant to Section 12(b) of the Act: </w:t>
      </w:r>
    </w:p>
    <w:tbl>
      <w:tblPr>
        <w:tblW w:w="9616" w:type="dxa"/>
        <w:jc w:val="center"/>
        <w:tblInd w:w="0" w:type="dxa"/>
        <w:tblLayout w:type="fixed"/>
        <w:tblCellMar>
          <w:top w:w="28" w:type="dxa"/>
          <w:left w:w="28" w:type="dxa"/>
          <w:bottom w:w="28" w:type="dxa"/>
          <w:right w:w="28" w:type="dxa"/>
        </w:tblCellMar>
      </w:tblPr>
      <w:tblGrid>
        <w:gridCol w:w="124"/>
        <w:gridCol w:w="109"/>
        <w:gridCol w:w="109"/>
        <w:gridCol w:w="933"/>
        <w:gridCol w:w="933"/>
        <w:gridCol w:w="938"/>
        <w:gridCol w:w="109"/>
        <w:gridCol w:w="109"/>
        <w:gridCol w:w="109"/>
        <w:gridCol w:w="554"/>
        <w:gridCol w:w="554"/>
        <w:gridCol w:w="556"/>
        <w:gridCol w:w="109"/>
        <w:gridCol w:w="109"/>
        <w:gridCol w:w="109"/>
        <w:gridCol w:w="1259"/>
        <w:gridCol w:w="1259"/>
        <w:gridCol w:w="126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$0.50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33"/>
        <w:gridCol w:w="381"/>
        <w:gridCol w:w="381"/>
        <w:gridCol w:w="1022"/>
        <w:gridCol w:w="385"/>
        <w:gridCol w:w="381"/>
        <w:gridCol w:w="381"/>
        <w:gridCol w:w="381"/>
        <w:gridCol w:w="381"/>
        <w:gridCol w:w="575"/>
        <w:gridCol w:w="381"/>
        <w:gridCol w:w="381"/>
        <w:gridCol w:w="381"/>
        <w:gridCol w:w="381"/>
        <w:gridCol w:w="381"/>
        <w:gridCol w:w="381"/>
        <w:gridCol w:w="381"/>
        <w:gridCol w:w="381"/>
        <w:gridCol w:w="381"/>
        <w:gridCol w:w="381"/>
        <w:gridCol w:w="381"/>
        <w:gridCol w:w="381"/>
        <w:gridCol w:w="381"/>
        <w:gridCol w:w="551"/>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180" w:after="18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No</w:t>
            </w:r>
            <w:r>
              <w:rPr>
                <w:color w:val="000000"/>
              </w:rPr>
              <w:t xml:space="preserve"> ☐</w:t>
            </w:r>
          </w:p>
        </w:tc>
      </w:tr>
      <w:tr>
        <w:trPr/>
        <w:tc>
          <w:tcPr>
            <w:tcW w:w="1195"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60" w:after="18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No</w:t>
            </w:r>
            <w:r>
              <w:rPr>
                <w:color w:val="000000"/>
              </w:rPr>
              <w:t xml:space="preserve"> ☐</w:t>
            </w:r>
          </w:p>
        </w:tc>
      </w:tr>
      <w:tr>
        <w:trPr/>
        <w:tc>
          <w:tcPr>
            <w:tcW w:w="1195"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8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8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1143"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1143"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100" w:after="10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r>
        <w:trPr/>
        <w:tc>
          <w:tcPr>
            <w:tcW w:w="10205"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100" w:after="10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No</w:t>
            </w:r>
            <w:r>
              <w:rPr>
                <w:color w:val="000000"/>
              </w:rPr>
              <w:t xml:space="preserve"> ☒</w:t>
            </w:r>
          </w:p>
        </w:tc>
      </w:tr>
      <w:tr>
        <w:trPr/>
        <w:tc>
          <w:tcPr>
            <w:tcW w:w="1195"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18"/>
        </w:rPr>
      </w:pPr>
      <w:r>
        <w:rPr>
          <w:rFonts w:ascii="Times New Roman;serif" w:hAnsi="Times New Roman;serif"/>
          <w:b w:val="false"/>
          <w:color w:val="000000"/>
          <w:sz w:val="18"/>
        </w:rPr>
        <w:t>The number of the Company’s outstanding shares of Common Stock on August 3, 2026 was 27,021,444.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TEJON RANCH CO.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9"/>
        <w:gridCol w:w="262"/>
        <w:gridCol w:w="265"/>
        <w:gridCol w:w="2943"/>
        <w:gridCol w:w="2943"/>
        <w:gridCol w:w="2950"/>
        <w:gridCol w:w="158"/>
        <w:gridCol w:w="158"/>
        <w:gridCol w:w="227"/>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b3d63b210a41aeba86c033a3bf53c5_13">
              <w:r>
                <w:rPr>
                  <w:rStyle w:val="InternetLink"/>
                  <w:rFonts w:ascii="Times New Roman;serif" w:hAnsi="Times New Roman;serif"/>
                  <w:b w:val="false"/>
                  <w:strike w:val="false"/>
                  <w:dstrike w:val="false"/>
                  <w:color w:val="000000"/>
                  <w:sz w:val="20"/>
                  <w:u w:val="none"/>
                  <w:effect w:val="none"/>
                </w:rPr>
                <w:t>FINANCIAL INFORMATION</w:t>
              </w:r>
            </w:hyperlink>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b3d63b210a41aeba86c033a3bf53c5_16">
              <w:r>
                <w:rPr>
                  <w:rStyle w:val="InternetLink"/>
                  <w:rFonts w:ascii="Times New Roman;serif" w:hAnsi="Times New Roman;serif"/>
                  <w:b w:val="false"/>
                  <w:strike w:val="false"/>
                  <w:dstrike w:val="false"/>
                  <w:color w:val="000000"/>
                  <w:sz w:val="20"/>
                  <w:u w:val="none"/>
                  <w:effect w:val="none"/>
                </w:rPr>
                <w:t>Financial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b3d63b210a41aeba86c033a3bf53c5_16">
              <w:r>
                <w:rPr>
                  <w:rStyle w:val="InternetLink"/>
                  <w:rFonts w:ascii="Times New Roman;serif" w:hAnsi="Times New Roman;serif"/>
                  <w:b w:val="false"/>
                  <w:strike w:val="false"/>
                  <w:dstrike w:val="false"/>
                  <w:color w:val="000000"/>
                  <w:sz w:val="20"/>
                  <w:u w:val="none"/>
                  <w:effect w:val="none"/>
                </w:rPr>
                <w:t>4</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b3d63b210a41aeba86c033a3bf53c5_19">
              <w:r>
                <w:rPr>
                  <w:rStyle w:val="InternetLink"/>
                  <w:rFonts w:ascii="Times New Roman;serif" w:hAnsi="Times New Roman;serif"/>
                  <w:b w:val="false"/>
                  <w:strike w:val="false"/>
                  <w:dstrike w:val="false"/>
                  <w:color w:val="000000"/>
                  <w:sz w:val="20"/>
                  <w:u w:val="none"/>
                  <w:effect w:val="none"/>
                </w:rPr>
                <w:t xml:space="preserve">Consolidated Balance Sheets as of </w:t>
              </w:r>
            </w:hyperlink>
            <w:r>
              <w:rPr>
                <w:rFonts w:ascii="Times New Roman;serif" w:hAnsi="Times New Roman;serif"/>
                <w:b w:val="false"/>
                <w:color w:val="000000"/>
                <w:sz w:val="20"/>
              </w:rPr>
              <w:t>June 30, 2026</w:t>
            </w:r>
            <w:hyperlink w:anchor="i55b3d63b210a41aeba86c033a3bf53c5_19">
              <w:r>
                <w:rPr>
                  <w:rStyle w:val="InternetLink"/>
                  <w:rFonts w:ascii="Times New Roman;serif" w:hAnsi="Times New Roman;serif"/>
                  <w:b w:val="false"/>
                  <w:strike w:val="false"/>
                  <w:dstrike w:val="false"/>
                  <w:color w:val="000000"/>
                  <w:sz w:val="20"/>
                  <w:u w:val="none"/>
                  <w:effect w:val="none"/>
                </w:rPr>
                <w:t xml:space="preserve"> (unaudited) and </w:t>
              </w:r>
            </w:hyperlink>
            <w:r>
              <w:rPr>
                <w:rFonts w:ascii="Times New Roman;serif" w:hAnsi="Times New Roman;serif"/>
                <w:b w:val="false"/>
                <w:color w:val="000000"/>
                <w:sz w:val="20"/>
              </w:rPr>
              <w:t>December 31, 2025</w:t>
            </w:r>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b3d63b210a41aeba86c033a3bf53c5_19">
              <w:r>
                <w:rPr>
                  <w:rStyle w:val="InternetLink"/>
                  <w:rFonts w:ascii="Times New Roman;serif" w:hAnsi="Times New Roman;serif"/>
                  <w:b w:val="false"/>
                  <w:strike w:val="false"/>
                  <w:dstrike w:val="false"/>
                  <w:color w:val="000000"/>
                  <w:sz w:val="20"/>
                  <w:u w:val="none"/>
                  <w:effect w:val="none"/>
                </w:rPr>
                <w:t>4</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b3d63b210a41aeba86c033a3bf53c5_22">
              <w:r>
                <w:rPr>
                  <w:rStyle w:val="InternetLink"/>
                  <w:rFonts w:ascii="Times New Roman;serif" w:hAnsi="Times New Roman;serif"/>
                  <w:b w:val="false"/>
                  <w:strike w:val="false"/>
                  <w:dstrike w:val="false"/>
                  <w:color w:val="000000"/>
                  <w:sz w:val="20"/>
                  <w:u w:val="none"/>
                  <w:effect w:val="none"/>
                </w:rPr>
                <w:t xml:space="preserve">Unaudited Consolidated Statements of Operations for the </w:t>
              </w:r>
            </w:hyperlink>
            <w:r>
              <w:rPr>
                <w:rFonts w:ascii="Times New Roman;serif" w:hAnsi="Times New Roman;serif"/>
                <w:b w:val="false"/>
                <w:color w:val="000000"/>
                <w:sz w:val="20"/>
              </w:rPr>
              <w:t>Three and Six</w:t>
            </w:r>
            <w:hyperlink w:anchor="i55b3d63b210a41aeba86c033a3bf53c5_22">
              <w:r>
                <w:rPr>
                  <w:rStyle w:val="InternetLink"/>
                  <w:rFonts w:ascii="Times New Roman;serif" w:hAnsi="Times New Roman;serif"/>
                  <w:b w:val="false"/>
                  <w:strike w:val="false"/>
                  <w:dstrike w:val="false"/>
                  <w:color w:val="000000"/>
                  <w:sz w:val="20"/>
                  <w:u w:val="none"/>
                  <w:effect w:val="none"/>
                </w:rPr>
                <w:t xml:space="preserve"> Months Ended </w:t>
              </w:r>
            </w:hyperlink>
            <w:r>
              <w:rPr>
                <w:rFonts w:ascii="Times New Roman;serif" w:hAnsi="Times New Roman;serif"/>
                <w:b w:val="false"/>
                <w:color w:val="000000"/>
                <w:sz w:val="20"/>
              </w:rPr>
              <w:t>June 30, 2026</w:t>
            </w:r>
            <w:hyperlink w:anchor="i55b3d63b210a41aeba86c033a3bf53c5_22">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b3d63b210a41aeba86c033a3bf53c5_22">
              <w:r>
                <w:rPr>
                  <w:rStyle w:val="InternetLink"/>
                  <w:rFonts w:ascii="Times New Roman;serif" w:hAnsi="Times New Roman;serif"/>
                  <w:b w:val="false"/>
                  <w:strike w:val="false"/>
                  <w:dstrike w:val="false"/>
                  <w:color w:val="000000"/>
                  <w:sz w:val="20"/>
                  <w:u w:val="none"/>
                  <w:effect w:val="none"/>
                </w:rPr>
                <w:t>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b3d63b210a41aeba86c033a3bf53c5_25">
              <w:r>
                <w:rPr>
                  <w:rStyle w:val="InternetLink"/>
                  <w:rFonts w:ascii="Times New Roman;serif" w:hAnsi="Times New Roman;serif"/>
                  <w:b w:val="false"/>
                  <w:strike w:val="false"/>
                  <w:dstrike w:val="false"/>
                  <w:color w:val="000000"/>
                  <w:sz w:val="20"/>
                  <w:u w:val="none"/>
                  <w:effect w:val="none"/>
                </w:rPr>
                <w:t xml:space="preserve">Unaudited Consolidated Statements of Comprehensive Income (Loss) </w:t>
              </w:r>
            </w:hyperlink>
            <w:r>
              <w:rPr>
                <w:rFonts w:ascii="Times New Roman;serif" w:hAnsi="Times New Roman;serif"/>
                <w:b w:val="false"/>
                <w:color w:val="000000"/>
                <w:sz w:val="20"/>
              </w:rPr>
              <w:t>for the Three and Six Months Ended June 30, 2026 and 2025</w:t>
            </w:r>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b3d63b210a41aeba86c033a3bf53c5_25">
              <w:r>
                <w:rPr>
                  <w:rStyle w:val="InternetLink"/>
                  <w:rFonts w:ascii="Times New Roman;serif" w:hAnsi="Times New Roman;serif"/>
                  <w:b w:val="false"/>
                  <w:strike w:val="false"/>
                  <w:dstrike w:val="false"/>
                  <w:color w:val="000000"/>
                  <w:sz w:val="20"/>
                  <w:u w:val="none"/>
                  <w:effect w:val="none"/>
                </w:rPr>
                <w:t>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b3d63b210a41aeba86c033a3bf53c5_28">
              <w:r>
                <w:rPr>
                  <w:rStyle w:val="InternetLink"/>
                  <w:rFonts w:ascii="Times New Roman;serif" w:hAnsi="Times New Roman;serif"/>
                  <w:b w:val="false"/>
                  <w:strike w:val="false"/>
                  <w:dstrike w:val="false"/>
                  <w:color w:val="000000"/>
                  <w:sz w:val="20"/>
                  <w:u w:val="none"/>
                  <w:effect w:val="none"/>
                </w:rPr>
                <w:t xml:space="preserve">Unaudited Consolidated Statements of Cash Flows for the </w:t>
              </w:r>
            </w:hyperlink>
            <w:r>
              <w:rPr>
                <w:rFonts w:ascii="Times New Roman;serif" w:hAnsi="Times New Roman;serif"/>
                <w:b w:val="false"/>
                <w:color w:val="000000"/>
                <w:sz w:val="20"/>
              </w:rPr>
              <w:t>Six</w:t>
            </w:r>
            <w:hyperlink w:anchor="i55b3d63b210a41aeba86c033a3bf53c5_28">
              <w:r>
                <w:rPr>
                  <w:rStyle w:val="InternetLink"/>
                  <w:rFonts w:ascii="Times New Roman;serif" w:hAnsi="Times New Roman;serif"/>
                  <w:b w:val="false"/>
                  <w:strike w:val="false"/>
                  <w:dstrike w:val="false"/>
                  <w:color w:val="000000"/>
                  <w:sz w:val="20"/>
                  <w:u w:val="none"/>
                  <w:effect w:val="none"/>
                </w:rPr>
                <w:t xml:space="preserve"> Months Ended </w:t>
              </w:r>
            </w:hyperlink>
            <w:r>
              <w:rPr>
                <w:rFonts w:ascii="Times New Roman;serif" w:hAnsi="Times New Roman;serif"/>
                <w:b w:val="false"/>
                <w:color w:val="000000"/>
                <w:sz w:val="20"/>
              </w:rPr>
              <w:t>June 30, 2026 and 2025</w:t>
            </w:r>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b3d63b210a41aeba86c033a3bf53c5_28">
              <w:r>
                <w:rPr>
                  <w:rStyle w:val="InternetLink"/>
                  <w:rFonts w:ascii="Times New Roman;serif" w:hAnsi="Times New Roman;serif"/>
                  <w:b w:val="false"/>
                  <w:strike w:val="false"/>
                  <w:dstrike w:val="false"/>
                  <w:color w:val="000000"/>
                  <w:sz w:val="20"/>
                  <w:u w:val="none"/>
                  <w:effect w:val="none"/>
                </w:rPr>
                <w:t>7</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b3d63b210a41aeba86c033a3bf53c5_34">
              <w:r>
                <w:rPr>
                  <w:rStyle w:val="InternetLink"/>
                  <w:rFonts w:ascii="Times New Roman;serif" w:hAnsi="Times New Roman;serif"/>
                  <w:b w:val="false"/>
                  <w:strike w:val="false"/>
                  <w:dstrike w:val="false"/>
                  <w:color w:val="000080"/>
                  <w:sz w:val="20"/>
                  <w:u w:val="single"/>
                  <w:effect w:val="none"/>
                </w:rPr>
                <w:t xml:space="preserve">Unaudited Consolidated Statements of </w:t>
              </w:r>
            </w:hyperlink>
            <w:hyperlink w:anchor="i55b3d63b210a41aeba86c033a3bf53c5_34">
              <w:r>
                <w:rPr>
                  <w:rStyle w:val="InternetLink"/>
                  <w:rFonts w:ascii="Times New Roman;serif" w:hAnsi="Times New Roman;serif"/>
                  <w:b w:val="false"/>
                  <w:strike w:val="false"/>
                  <w:dstrike w:val="false"/>
                  <w:color w:val="000080"/>
                  <w:sz w:val="20"/>
                  <w:u w:val="single"/>
                  <w:effect w:val="none"/>
                </w:rPr>
                <w:t xml:space="preserve">Changes in Equity </w:t>
              </w:r>
            </w:hyperlink>
            <w:hyperlink w:anchor="i55b3d63b210a41aeba86c033a3bf53c5_34">
              <w:r>
                <w:rPr>
                  <w:rStyle w:val="InternetLink"/>
                  <w:rFonts w:ascii="Times New Roman;serif" w:hAnsi="Times New Roman;serif"/>
                  <w:b w:val="false"/>
                  <w:strike w:val="false"/>
                  <w:dstrike w:val="false"/>
                  <w:color w:val="000080"/>
                  <w:sz w:val="20"/>
                  <w:u w:val="single"/>
                  <w:effect w:val="none"/>
                </w:rPr>
                <w:t xml:space="preserve">for the </w:t>
              </w:r>
            </w:hyperlink>
            <w:r>
              <w:rPr>
                <w:rFonts w:ascii="Times New Roman;serif" w:hAnsi="Times New Roman;serif"/>
                <w:b w:val="false"/>
                <w:color w:val="000000"/>
                <w:sz w:val="20"/>
              </w:rPr>
              <w:t>Three and Six</w:t>
            </w:r>
            <w:hyperlink w:anchor="i55b3d63b210a41aeba86c033a3bf53c5_22">
              <w:r>
                <w:rPr>
                  <w:rStyle w:val="InternetLink"/>
                  <w:rFonts w:ascii="Times New Roman;serif" w:hAnsi="Times New Roman;serif"/>
                  <w:b w:val="false"/>
                  <w:strike w:val="false"/>
                  <w:dstrike w:val="false"/>
                  <w:color w:val="000000"/>
                  <w:sz w:val="20"/>
                  <w:u w:val="none"/>
                  <w:effect w:val="none"/>
                </w:rPr>
                <w:t xml:space="preserve"> Months Ended </w:t>
              </w:r>
            </w:hyperlink>
            <w:r>
              <w:rPr>
                <w:rFonts w:ascii="Times New Roman;serif" w:hAnsi="Times New Roman;serif"/>
                <w:b w:val="false"/>
                <w:color w:val="000000"/>
                <w:sz w:val="20"/>
              </w:rPr>
              <w:t>June 30, 2026</w:t>
            </w:r>
            <w:hyperlink w:anchor="i55b3d63b210a41aeba86c033a3bf53c5_22">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b3d63b210a41aeba86c033a3bf53c5_34">
              <w:r>
                <w:rPr>
                  <w:rStyle w:val="InternetLink"/>
                  <w:rFonts w:ascii="Times New Roman;serif" w:hAnsi="Times New Roman;serif"/>
                  <w:b w:val="false"/>
                  <w:strike w:val="false"/>
                  <w:dstrike w:val="false"/>
                  <w:color w:val="000000"/>
                  <w:sz w:val="20"/>
                  <w:u w:val="none"/>
                  <w:effect w:val="none"/>
                </w:rPr>
                <w:t>9</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b3d63b210a41aeba86c033a3bf53c5_40">
              <w:r>
                <w:rPr>
                  <w:rStyle w:val="InternetLink"/>
                  <w:rFonts w:ascii="Times New Roman;serif" w:hAnsi="Times New Roman;serif"/>
                  <w:b w:val="false"/>
                  <w:strike w:val="false"/>
                  <w:dstrike w:val="false"/>
                  <w:color w:val="000000"/>
                  <w:sz w:val="20"/>
                  <w:u w:val="none"/>
                  <w:effect w:val="none"/>
                </w:rPr>
                <w:t>Notes to Unaudited Consolidated Financial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b3d63b210a41aeba86c033a3bf53c5_40">
              <w:r>
                <w:rPr>
                  <w:rStyle w:val="InternetLink"/>
                  <w:rFonts w:ascii="Times New Roman;serif" w:hAnsi="Times New Roman;serif"/>
                  <w:b w:val="false"/>
                  <w:strike w:val="false"/>
                  <w:dstrike w:val="false"/>
                  <w:color w:val="000000"/>
                  <w:sz w:val="20"/>
                  <w:u w:val="none"/>
                  <w:effect w:val="none"/>
                </w:rPr>
                <w:t>11</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b3d63b210a41aeba86c033a3bf53c5_112">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b3d63b210a41aeba86c033a3bf53c5_112">
              <w:r>
                <w:rPr>
                  <w:rStyle w:val="InternetLink"/>
                  <w:rFonts w:ascii="Times New Roman;serif" w:hAnsi="Times New Roman;serif"/>
                  <w:b w:val="false"/>
                  <w:strike w:val="false"/>
                  <w:dstrike w:val="false"/>
                  <w:color w:val="000000"/>
                  <w:sz w:val="20"/>
                  <w:u w:val="none"/>
                  <w:effect w:val="none"/>
                </w:rPr>
                <w:t>30</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b3d63b210a41aeba86c033a3bf53c5_151">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b3d63b210a41aeba86c033a3bf53c5_151">
              <w:r>
                <w:rPr>
                  <w:rStyle w:val="InternetLink"/>
                  <w:rFonts w:ascii="Times New Roman;serif" w:hAnsi="Times New Roman;serif"/>
                  <w:b w:val="false"/>
                  <w:strike w:val="false"/>
                  <w:dstrike w:val="false"/>
                  <w:color w:val="000000"/>
                  <w:sz w:val="20"/>
                  <w:u w:val="none"/>
                  <w:effect w:val="none"/>
                </w:rPr>
                <w:t>52</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b3d63b210a41aeba86c033a3bf53c5_154">
              <w:r>
                <w:rPr>
                  <w:rStyle w:val="InternetLink"/>
                  <w:rFonts w:ascii="Times New Roman;serif" w:hAnsi="Times New Roman;serif"/>
                  <w:b w:val="false"/>
                  <w:strike w:val="false"/>
                  <w:dstrike w:val="false"/>
                  <w:color w:val="000000"/>
                  <w:sz w:val="20"/>
                  <w:u w:val="none"/>
                  <w:effect w:val="none"/>
                </w:rPr>
                <w:t>Controls and Procedures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b3d63b210a41aeba86c033a3bf53c5_154">
              <w:r>
                <w:rPr>
                  <w:rStyle w:val="InternetLink"/>
                  <w:rFonts w:ascii="Times New Roman;serif" w:hAnsi="Times New Roman;serif"/>
                  <w:b w:val="false"/>
                  <w:strike w:val="false"/>
                  <w:dstrike w:val="false"/>
                  <w:color w:val="000000"/>
                  <w:sz w:val="20"/>
                  <w:u w:val="none"/>
                  <w:effect w:val="none"/>
                </w:rPr>
                <w:t>54</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b3d63b210a41aeba86c033a3bf53c5_157">
              <w:r>
                <w:rPr>
                  <w:rStyle w:val="InternetLink"/>
                  <w:rFonts w:ascii="Times New Roman;serif" w:hAnsi="Times New Roman;serif"/>
                  <w:b w:val="false"/>
                  <w:strike w:val="false"/>
                  <w:dstrike w:val="false"/>
                  <w:color w:val="000000"/>
                  <w:sz w:val="20"/>
                  <w:u w:val="none"/>
                  <w:effect w:val="none"/>
                </w:rPr>
                <w:t>OTHER INFORMATION</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b3d63b210a41aeba86c033a3bf53c5_160">
              <w:r>
                <w:rPr>
                  <w:rStyle w:val="InternetLink"/>
                  <w:rFonts w:ascii="Times New Roman;serif" w:hAnsi="Times New Roman;serif"/>
                  <w:b w:val="false"/>
                  <w:strike w:val="false"/>
                  <w:dstrike w:val="false"/>
                  <w:color w:val="000000"/>
                  <w:sz w:val="20"/>
                  <w:u w:val="none"/>
                  <w:effect w:val="none"/>
                </w:rPr>
                <w:t>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b3d63b210a41aeba86c033a3bf53c5_160">
              <w:r>
                <w:rPr>
                  <w:rStyle w:val="InternetLink"/>
                  <w:rFonts w:ascii="Times New Roman;serif" w:hAnsi="Times New Roman;serif"/>
                  <w:b w:val="false"/>
                  <w:strike w:val="false"/>
                  <w:dstrike w:val="false"/>
                  <w:color w:val="000000"/>
                  <w:sz w:val="20"/>
                  <w:u w:val="none"/>
                  <w:effect w:val="none"/>
                </w:rPr>
                <w:t>55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b3d63b210a41aeba86c033a3bf53c5_163">
              <w:r>
                <w:rPr>
                  <w:rStyle w:val="InternetLink"/>
                  <w:rFonts w:ascii="Times New Roman;serif" w:hAnsi="Times New Roman;serif"/>
                  <w:b w:val="false"/>
                  <w:strike w:val="false"/>
                  <w:dstrike w:val="false"/>
                  <w:color w:val="000000"/>
                  <w:sz w:val="20"/>
                  <w:u w:val="none"/>
                  <w:effect w:val="none"/>
                </w:rPr>
                <w:t>Risk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b3d63b210a41aeba86c033a3bf53c5_163">
              <w:r>
                <w:rPr>
                  <w:rStyle w:val="InternetLink"/>
                  <w:rFonts w:ascii="Times New Roman;serif" w:hAnsi="Times New Roman;serif"/>
                  <w:b w:val="false"/>
                  <w:strike w:val="false"/>
                  <w:dstrike w:val="false"/>
                  <w:color w:val="000000"/>
                  <w:sz w:val="20"/>
                  <w:u w:val="none"/>
                  <w:effect w:val="none"/>
                </w:rPr>
                <w:t>55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b3d63b210a41aeba86c033a3bf53c5_166">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b3d63b210a41aeba86c033a3bf53c5_166">
              <w:r>
                <w:rPr>
                  <w:rStyle w:val="InternetLink"/>
                  <w:rFonts w:ascii="Times New Roman;serif" w:hAnsi="Times New Roman;serif"/>
                  <w:b w:val="false"/>
                  <w:strike w:val="false"/>
                  <w:dstrike w:val="false"/>
                  <w:color w:val="000000"/>
                  <w:sz w:val="20"/>
                  <w:u w:val="none"/>
                  <w:effect w:val="none"/>
                </w:rPr>
                <w:t>55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b3d63b210a41aeba86c033a3bf53c5_169">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b3d63b210a41aeba86c033a3bf53c5_169">
              <w:r>
                <w:rPr>
                  <w:rStyle w:val="InternetLink"/>
                  <w:rFonts w:ascii="Times New Roman;serif" w:hAnsi="Times New Roman;serif"/>
                  <w:b w:val="false"/>
                  <w:strike w:val="false"/>
                  <w:dstrike w:val="false"/>
                  <w:color w:val="000000"/>
                  <w:sz w:val="20"/>
                  <w:u w:val="none"/>
                  <w:effect w:val="none"/>
                </w:rPr>
                <w:t>55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b3d63b210a41aeba86c033a3bf53c5_172">
              <w:r>
                <w:rPr>
                  <w:rStyle w:val="InternetLink"/>
                  <w:rFonts w:ascii="Times New Roman;serif" w:hAnsi="Times New Roman;serif"/>
                  <w:b w:val="false"/>
                  <w:strike w:val="false"/>
                  <w:dstrike w:val="false"/>
                  <w:color w:val="000000"/>
                  <w:sz w:val="20"/>
                  <w:u w:val="none"/>
                  <w:effect w:val="none"/>
                </w:rPr>
                <w:t>Mine Safety Disclosures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b3d63b210a41aeba86c033a3bf53c5_172">
              <w:r>
                <w:rPr>
                  <w:rStyle w:val="InternetLink"/>
                  <w:rFonts w:ascii="Times New Roman;serif" w:hAnsi="Times New Roman;serif"/>
                  <w:b w:val="false"/>
                  <w:strike w:val="false"/>
                  <w:dstrike w:val="false"/>
                  <w:color w:val="000000"/>
                  <w:sz w:val="20"/>
                  <w:u w:val="none"/>
                  <w:effect w:val="none"/>
                </w:rPr>
                <w:t>55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b3d63b210a41aeba86c033a3bf53c5_175">
              <w:r>
                <w:rPr>
                  <w:rStyle w:val="InternetLink"/>
                  <w:rFonts w:ascii="Times New Roman;serif" w:hAnsi="Times New Roman;serif"/>
                  <w:b w:val="false"/>
                  <w:strike w:val="false"/>
                  <w:dstrike w:val="false"/>
                  <w:color w:val="000000"/>
                  <w:sz w:val="20"/>
                  <w:u w:val="none"/>
                  <w:effect w:val="none"/>
                </w:rPr>
                <w:t>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b3d63b210a41aeba86c033a3bf53c5_175">
              <w:r>
                <w:rPr>
                  <w:rStyle w:val="InternetLink"/>
                  <w:rFonts w:ascii="Times New Roman;serif" w:hAnsi="Times New Roman;serif"/>
                  <w:b w:val="false"/>
                  <w:strike w:val="false"/>
                  <w:dstrike w:val="false"/>
                  <w:color w:val="000000"/>
                  <w:sz w:val="20"/>
                  <w:u w:val="none"/>
                  <w:effect w:val="none"/>
                </w:rPr>
                <w:t>55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b3d63b210a41aeba86c033a3bf53c5_178">
              <w:r>
                <w:rPr>
                  <w:rStyle w:val="InternetLink"/>
                  <w:rFonts w:ascii="Times New Roman;serif" w:hAnsi="Times New Roman;serif"/>
                  <w:b w:val="false"/>
                  <w:strike w:val="false"/>
                  <w:dstrike w:val="false"/>
                  <w:color w:val="000000"/>
                  <w:sz w:val="20"/>
                  <w:u w:val="none"/>
                  <w:effect w:val="none"/>
                </w:rPr>
                <w:t>Exhibits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b3d63b210a41aeba86c033a3bf53c5_178">
              <w:r>
                <w:rPr>
                  <w:rStyle w:val="InternetLink"/>
                  <w:rFonts w:ascii="Times New Roman;serif" w:hAnsi="Times New Roman;serif"/>
                  <w:b w:val="false"/>
                  <w:strike w:val="false"/>
                  <w:dstrike w:val="false"/>
                  <w:color w:val="000000"/>
                  <w:sz w:val="20"/>
                  <w:u w:val="none"/>
                  <w:effect w:val="none"/>
                </w:rPr>
                <w:t>55</w:t>
              </w:r>
            </w:hyperlink>
          </w:p>
        </w:tc>
      </w:tr>
      <w:tr>
        <w:trPr/>
        <w:tc>
          <w:tcPr>
            <w:tcW w:w="9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5b3d63b210a41aeba86c033a3bf53c5_181">
              <w:r>
                <w:rPr>
                  <w:rStyle w:val="InternetLink"/>
                  <w:rFonts w:ascii="Times New Roman;serif" w:hAnsi="Times New Roman;serif"/>
                  <w:b w:val="false"/>
                  <w:strike w:val="false"/>
                  <w:dstrike w:val="false"/>
                  <w:color w:val="000000"/>
                  <w:sz w:val="20"/>
                  <w:u w:val="none"/>
                  <w:effect w:val="none"/>
                </w:rPr>
                <w:t>SIGNATURES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b3d63b210a41aeba86c033a3bf53c5_181">
              <w:r>
                <w:rPr>
                  <w:rStyle w:val="InternetLink"/>
                  <w:rFonts w:ascii="Times New Roman;serif" w:hAnsi="Times New Roman;serif"/>
                  <w:b w:val="false"/>
                  <w:strike w:val="false"/>
                  <w:dstrike w:val="false"/>
                  <w:color w:val="000000"/>
                  <w:sz w:val="20"/>
                  <w:u w:val="none"/>
                  <w:effect w:val="none"/>
                </w:rPr>
                <w:t>56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6EBF"/>
          <w:sz w:val="20"/>
        </w:rPr>
      </w:pPr>
      <w:r>
        <w:rPr>
          <w:rFonts w:ascii="Times New Roman;serif" w:hAnsi="Times New Roman;serif"/>
          <w:b/>
          <w:color w:val="006EBF"/>
          <w:sz w:val="20"/>
        </w:rPr>
        <w:t>Glossary</w:t>
      </w:r>
    </w:p>
    <w:tbl>
      <w:tblPr>
        <w:tblW w:w="10205" w:type="dxa"/>
        <w:jc w:val="left"/>
        <w:tblInd w:w="0" w:type="dxa"/>
        <w:tblLayout w:type="fixed"/>
        <w:tblCellMar>
          <w:top w:w="28" w:type="dxa"/>
          <w:left w:w="28" w:type="dxa"/>
          <w:bottom w:w="28" w:type="dxa"/>
          <w:right w:w="28" w:type="dxa"/>
        </w:tblCellMar>
      </w:tblPr>
      <w:tblGrid>
        <w:gridCol w:w="1001"/>
        <w:gridCol w:w="730"/>
        <w:gridCol w:w="730"/>
        <w:gridCol w:w="730"/>
        <w:gridCol w:w="730"/>
        <w:gridCol w:w="730"/>
        <w:gridCol w:w="1780"/>
        <w:gridCol w:w="1572"/>
        <w:gridCol w:w="2202"/>
      </w:tblGrid>
      <w:tr>
        <w:trPr/>
        <w:tc>
          <w:tcPr>
            <w:tcW w:w="100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initialisms or acronyms may be used in this document and shall be defined as set forth below:</w:t>
            </w:r>
          </w:p>
        </w:tc>
      </w:tr>
      <w:tr>
        <w:trPr/>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AKIP</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Kern Incentive Program</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AVEK</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Antelope Valley East Kern Water Agency</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CFL</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Centennial Founders, LLC</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CBD</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Center for Biological Diversity</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CEQA</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 Environmental Quality Act</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CFD</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Community Facilities District</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CNPS</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 Native Plant Society</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Interest Taxes Depreciation and Amortization</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EIR</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Impact Report</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FTZ</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Trade Zone</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GHG</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Greenhouse Gas</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GSP</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Groundwater Sustainability Plan</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MV</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Mountain Village at Tejon Ranch</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NOI</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Income</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NLER</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Liabilities to Equity Ratio</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PEF</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Pastoria Energy Facility, LLC</w:t>
            </w:r>
          </w:p>
        </w:tc>
      </w:tr>
      <w:tr>
        <w:trPr/>
        <w:tc>
          <w:tcPr>
            <w:tcW w:w="2461"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RCL</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Line</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RWA</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Tejon Ranch Conservation and Land Use Agreement, a.k.a. Ranch Wide Agreement</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SWP</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Water Project</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TA/Petro </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Petro Travel Plaza Holdings, LLC</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TCWD</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Tejon-Castac Water District</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Tejon Ranch Co.</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TRCC</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Tejon Ranch Commerce Center</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TRPFFA</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Tejon Ranch Public Facilities Financing Authority</w:t>
            </w:r>
          </w:p>
        </w:tc>
      </w:tr>
      <w:tr>
        <w:trPr/>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WRMWSD</w:t>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Wheeler Ridge Maricopa Water Storage District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TEJON RANCH CO.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 in thousands, except per share data)</w:t>
      </w:r>
    </w:p>
    <w:tbl>
      <w:tblPr>
        <w:tblW w:w="10205" w:type="dxa"/>
        <w:jc w:val="center"/>
        <w:tblInd w:w="0" w:type="dxa"/>
        <w:tblLayout w:type="fixed"/>
        <w:tblCellMar>
          <w:top w:w="28" w:type="dxa"/>
          <w:left w:w="28" w:type="dxa"/>
          <w:bottom w:w="28" w:type="dxa"/>
          <w:right w:w="28" w:type="dxa"/>
        </w:tblCellMar>
      </w:tblPr>
      <w:tblGrid>
        <w:gridCol w:w="2682"/>
        <w:gridCol w:w="2287"/>
        <w:gridCol w:w="2182"/>
        <w:gridCol w:w="222"/>
        <w:gridCol w:w="870"/>
        <w:gridCol w:w="114"/>
        <w:gridCol w:w="109"/>
        <w:gridCol w:w="109"/>
        <w:gridCol w:w="109"/>
        <w:gridCol w:w="268"/>
        <w:gridCol w:w="1053"/>
        <w:gridCol w:w="200"/>
      </w:tblGrid>
      <w:tr>
        <w:trPr/>
        <w:tc>
          <w:tcPr>
            <w:tcW w:w="2682"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7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 available-for-sale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39,262 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and improvements - held for lease, net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 estate development (includes $130,824 at June 30, 2026 and $128,549 at December 31, 2025, attributable to CFL (Note 14))</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356,567 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joint ventures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 water assets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639,538 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630,469 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EQUITY</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9,490 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93,942 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gains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146,625 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139,913 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Tejon Ranch Co. stockholders’ equity</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$0.50 par value per share:</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Authorized shares - 50,000,000</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and outstanding shares - 27,004,897 at June 30, 2026 and 26,916,837 at December 31, 2025</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350,242 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111,673 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Tejon Ranch Co. stockholders’ equity</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477,557 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475,198 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492,913 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490,556 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639,538 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630,469 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TEJON RANCH CO.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63"/>
        <w:gridCol w:w="1459"/>
        <w:gridCol w:w="1470"/>
        <w:gridCol w:w="221"/>
        <w:gridCol w:w="647"/>
        <w:gridCol w:w="114"/>
        <w:gridCol w:w="114"/>
        <w:gridCol w:w="114"/>
        <w:gridCol w:w="114"/>
        <w:gridCol w:w="221"/>
        <w:gridCol w:w="693"/>
        <w:gridCol w:w="114"/>
        <w:gridCol w:w="109"/>
        <w:gridCol w:w="109"/>
        <w:gridCol w:w="109"/>
        <w:gridCol w:w="211"/>
        <w:gridCol w:w="721"/>
        <w:gridCol w:w="109"/>
        <w:gridCol w:w="109"/>
        <w:gridCol w:w="109"/>
        <w:gridCol w:w="109"/>
        <w:gridCol w:w="211"/>
        <w:gridCol w:w="658"/>
        <w:gridCol w:w="109"/>
        <w:gridCol w:w="109"/>
        <w:gridCol w:w="109"/>
        <w:gridCol w:w="109"/>
        <w:gridCol w:w="161"/>
      </w:tblGrid>
      <w:tr>
        <w:trPr/>
        <w:tc>
          <w:tcPr>
            <w:tcW w:w="176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commercial/industrial</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Mineral resources</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Farming</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Ranch operations</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commercial/industrial</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resort/residential</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Mineral resources</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Farming</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Ranch operations</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net</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equity in earnings of unconsolidated joint ventures and income tax expense (benefit)</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joint ventures, net</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expense (benefit)</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 basic</w:t>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 diluted</w:t>
            </w:r>
          </w:p>
        </w:tc>
        <w:tc>
          <w:tcPr>
            <w:tcW w:w="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See accompanying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TEJON RANCH CO.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CONSOLIDATED STATEMENTS OF COMPREHENSIVE INCOME (LOSS)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10"/>
        <w:gridCol w:w="1563"/>
        <w:gridCol w:w="1548"/>
        <w:gridCol w:w="231"/>
        <w:gridCol w:w="675"/>
        <w:gridCol w:w="119"/>
        <w:gridCol w:w="119"/>
        <w:gridCol w:w="119"/>
        <w:gridCol w:w="119"/>
        <w:gridCol w:w="231"/>
        <w:gridCol w:w="748"/>
        <w:gridCol w:w="119"/>
        <w:gridCol w:w="216"/>
        <w:gridCol w:w="631"/>
        <w:gridCol w:w="111"/>
        <w:gridCol w:w="111"/>
        <w:gridCol w:w="111"/>
        <w:gridCol w:w="111"/>
        <w:gridCol w:w="216"/>
        <w:gridCol w:w="698"/>
        <w:gridCol w:w="111"/>
        <w:gridCol w:w="109"/>
        <w:gridCol w:w="109"/>
        <w:gridCol w:w="109"/>
        <w:gridCol w:w="161"/>
      </w:tblGrid>
      <w:tr>
        <w:trPr/>
        <w:tc>
          <w:tcPr>
            <w:tcW w:w="1810"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23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available-for-sale securities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21"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21"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21"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21"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taxes</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related to other comprehensive loss items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(loss) </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non-controlling interests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common stockholders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16"/>
        </w:rPr>
      </w:pPr>
      <w:r>
        <w:rPr>
          <w:rFonts w:ascii="Times New Roman;serif" w:hAnsi="Times New Roman;serif"/>
          <w:b w:val="false"/>
          <w:color w:val="000000"/>
          <w:sz w:val="16"/>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TEJON RANCH CO.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tbl>
      <w:tblPr>
        <w:tblW w:w="10205" w:type="dxa"/>
        <w:jc w:val="center"/>
        <w:tblInd w:w="0" w:type="dxa"/>
        <w:tblLayout w:type="fixed"/>
        <w:tblCellMar>
          <w:top w:w="28" w:type="dxa"/>
          <w:left w:w="28" w:type="dxa"/>
          <w:bottom w:w="28" w:type="dxa"/>
          <w:right w:w="28" w:type="dxa"/>
        </w:tblCellMar>
      </w:tblPr>
      <w:tblGrid>
        <w:gridCol w:w="2831"/>
        <w:gridCol w:w="2490"/>
        <w:gridCol w:w="2503"/>
        <w:gridCol w:w="216"/>
        <w:gridCol w:w="632"/>
        <w:gridCol w:w="111"/>
        <w:gridCol w:w="111"/>
        <w:gridCol w:w="111"/>
        <w:gridCol w:w="111"/>
        <w:gridCol w:w="216"/>
        <w:gridCol w:w="708"/>
        <w:gridCol w:w="165"/>
      </w:tblGrid>
      <w:tr>
        <w:trPr/>
        <w:tc>
          <w:tcPr>
            <w:tcW w:w="2831"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 thousands)</w:t>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7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in) operating activities:</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discount of marketable securities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joint ventures, net</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retirement plan expense</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Non-cash profits recognized from land contribution </w:t>
            </w:r>
            <w:r>
              <w:rPr>
                <w:rFonts w:ascii="Times New Roman;serif" w:hAnsi="Times New Roman;serif"/>
                <w:b w:val="false"/>
                <w:color w:val="000000"/>
                <w:sz w:val="13"/>
              </w:rPr>
              <w:t>2</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82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Gain on sale of property plant and equipment </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 compensation expense </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provision (benefit) from stock-based compensation</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of earnings from unconsolidated joint ventures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inventories, prepaids and other assets, net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and sales of marketable securities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invested in marketable securities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Real estate development expenditures </w:t>
            </w:r>
            <w:r>
              <w:rPr>
                <w:rFonts w:ascii="Times New Roman;serif" w:hAnsi="Times New Roman;serif"/>
                <w:b w:val="false"/>
                <w:color w:val="000000"/>
                <w:sz w:val="13"/>
              </w:rPr>
              <w:t>1</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Real estate expenditures - to be held for lease </w:t>
            </w:r>
            <w:r>
              <w:rPr>
                <w:rFonts w:ascii="Times New Roman;serif" w:hAnsi="Times New Roman;serif"/>
                <w:b w:val="false"/>
                <w:color w:val="000000"/>
                <w:sz w:val="13"/>
              </w:rPr>
              <w:t>1</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Property and equipment expenditures </w:t>
            </w:r>
            <w:r>
              <w:rPr>
                <w:rFonts w:ascii="Times New Roman;serif" w:hAnsi="Times New Roman;serif"/>
                <w:b w:val="false"/>
                <w:color w:val="000000"/>
                <w:sz w:val="13"/>
              </w:rPr>
              <w:t>1</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Reimbursement proceeds from taxing authority</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unconsolidated joint ventures</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of equity from unconsolidated joint ventures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water assets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(49,551)</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on line of credit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82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82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82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82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82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on vested stock grants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cash equivalents, and restricted cash</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to amounts on consolidated balance sheets: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(Shown in prepaid expenses and other current assets)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cash equivalents, and restricted cash</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458"/>
        <w:gridCol w:w="1836"/>
        <w:gridCol w:w="1840"/>
        <w:gridCol w:w="375"/>
        <w:gridCol w:w="1096"/>
        <w:gridCol w:w="194"/>
        <w:gridCol w:w="194"/>
        <w:gridCol w:w="194"/>
        <w:gridCol w:w="194"/>
        <w:gridCol w:w="375"/>
        <w:gridCol w:w="1096"/>
        <w:gridCol w:w="194"/>
        <w:gridCol w:w="159"/>
      </w:tblGrid>
      <w:tr>
        <w:trPr/>
        <w:tc>
          <w:tcPr>
            <w:tcW w:w="2458"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activities</w:t>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 included in current liabilities</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long-term water assets included in current liabilities</w:t>
            </w:r>
          </w:p>
        </w:tc>
        <w:tc>
          <w:tcPr>
            <w:tcW w:w="3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9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9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Contribution of land to unconsolidated joint venture</w:t>
            </w:r>
            <w:r>
              <w:rPr>
                <w:rFonts w:ascii="Times New Roman;serif" w:hAnsi="Times New Roman;serif"/>
                <w:b w:val="false"/>
                <w:color w:val="000000"/>
                <w:sz w:val="13"/>
              </w:rPr>
              <w:t>2</w:t>
            </w:r>
          </w:p>
        </w:tc>
        <w:tc>
          <w:tcPr>
            <w:tcW w:w="3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9,852 </w:t>
            </w:r>
          </w:p>
        </w:tc>
        <w:tc>
          <w:tcPr>
            <w:tcW w:w="19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Long term deferred profit on land contribution</w:t>
            </w:r>
            <w:r>
              <w:rPr>
                <w:rFonts w:ascii="Times New Roman;serif" w:hAnsi="Times New Roman;serif"/>
                <w:b w:val="false"/>
                <w:color w:val="000000"/>
                <w:sz w:val="13"/>
              </w:rPr>
              <w:t>2</w:t>
            </w:r>
          </w:p>
        </w:tc>
        <w:tc>
          <w:tcPr>
            <w:tcW w:w="3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9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046" w:type="dxa"/>
            <w:gridSpan w:val="12"/>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Prior year amounts have been reclassified to conform to the current year presentation. Amounts previously presented as “Real estate and equipment expenditures” are now presented separately as “Real estate development expenditures,” “Real estate expenditures – to be held for lease,” and “Property and equipment expenditures.” These reclassifications had no impact on total net cash used in investing activities or the net change in cash and cash equivalents. </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0046" w:type="dxa"/>
            <w:gridSpan w:val="12"/>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² During the second quarter of 2026, the Company contributed land to TRC-DP 1, LLC, an unconsolidated joint venture, at a fair value of $9.9 million in a non-cash transaction. The Company recognized $2.0 million of the resulting profit and deferred $3.0 million representing its retained interest in the venture.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4071" w:type="dxa"/>
            <w:gridSpan w:val="10"/>
            <w:tcBorders/>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4071" w:type="dxa"/>
            <w:gridSpan w:val="10"/>
            <w:tcBorders/>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4071" w:type="dxa"/>
            <w:gridSpan w:val="10"/>
            <w:tcBorders/>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4071" w:type="dxa"/>
            <w:gridSpan w:val="10"/>
            <w:tcBorders/>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4071" w:type="dxa"/>
            <w:gridSpan w:val="10"/>
            <w:tcBorders/>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4071" w:type="dxa"/>
            <w:gridSpan w:val="10"/>
            <w:tcBorders/>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4071" w:type="dxa"/>
            <w:gridSpan w:val="10"/>
            <w:tcBorders/>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val="false"/>
          <w:color w:val="000000"/>
          <w:sz w:val="16"/>
        </w:rPr>
      </w:pPr>
      <w:r>
        <w:rPr>
          <w:rFonts w:ascii="Times New Roman;serif" w:hAnsi="Times New Roman;serif"/>
          <w:b w:val="false"/>
          <w:color w:val="000000"/>
          <w:sz w:val="16"/>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TEJON RANCH CO.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CHANGES IN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shares outstanding)</w:t>
      </w:r>
    </w:p>
    <w:p>
      <w:pPr>
        <w:pStyle w:val="TextBody"/>
        <w:bidi w:val="0"/>
        <w:spacing w:before="0" w:after="0"/>
        <w:jc w:val="center"/>
        <w:rPr/>
      </w:pPr>
      <w:r>
        <w:rPr/>
      </w:r>
    </w:p>
    <w:tbl>
      <w:tblPr>
        <w:tblW w:w="13624" w:type="dxa"/>
        <w:jc w:val="center"/>
        <w:tblInd w:w="0" w:type="dxa"/>
        <w:tblLayout w:type="fixed"/>
        <w:tblCellMar>
          <w:top w:w="28" w:type="dxa"/>
          <w:left w:w="28" w:type="dxa"/>
          <w:bottom w:w="28" w:type="dxa"/>
          <w:right w:w="28" w:type="dxa"/>
        </w:tblCellMar>
      </w:tblPr>
      <w:tblGrid>
        <w:gridCol w:w="805"/>
        <w:gridCol w:w="272"/>
        <w:gridCol w:w="274"/>
        <w:gridCol w:w="711"/>
        <w:gridCol w:w="370"/>
        <w:gridCol w:w="371"/>
        <w:gridCol w:w="109"/>
        <w:gridCol w:w="109"/>
        <w:gridCol w:w="109"/>
        <w:gridCol w:w="211"/>
        <w:gridCol w:w="721"/>
        <w:gridCol w:w="109"/>
        <w:gridCol w:w="109"/>
        <w:gridCol w:w="109"/>
        <w:gridCol w:w="109"/>
        <w:gridCol w:w="211"/>
        <w:gridCol w:w="826"/>
        <w:gridCol w:w="109"/>
        <w:gridCol w:w="109"/>
        <w:gridCol w:w="109"/>
        <w:gridCol w:w="109"/>
        <w:gridCol w:w="363"/>
        <w:gridCol w:w="829"/>
        <w:gridCol w:w="189"/>
        <w:gridCol w:w="109"/>
        <w:gridCol w:w="109"/>
        <w:gridCol w:w="109"/>
        <w:gridCol w:w="211"/>
        <w:gridCol w:w="826"/>
        <w:gridCol w:w="109"/>
        <w:gridCol w:w="109"/>
        <w:gridCol w:w="109"/>
        <w:gridCol w:w="109"/>
        <w:gridCol w:w="221"/>
        <w:gridCol w:w="865"/>
        <w:gridCol w:w="115"/>
        <w:gridCol w:w="109"/>
        <w:gridCol w:w="109"/>
        <w:gridCol w:w="109"/>
        <w:gridCol w:w="289"/>
        <w:gridCol w:w="987"/>
        <w:gridCol w:w="150"/>
        <w:gridCol w:w="109"/>
        <w:gridCol w:w="109"/>
        <w:gridCol w:w="109"/>
        <w:gridCol w:w="211"/>
        <w:gridCol w:w="826"/>
        <w:gridCol w:w="154"/>
      </w:tblGrid>
      <w:tr>
        <w:trPr/>
        <w:tc>
          <w:tcPr>
            <w:tcW w:w="8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March 31, 2026</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26,992,645 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474,507 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issuance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taxes and tax benefit of vested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June 30, 2026</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27,004,897 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477,557 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March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26,867,600 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472,478 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issuance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taxes and tax benefit of vested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June 30,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26,880,668 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471,532 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See accompanying notes.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80" w:after="283"/>
        <w:jc w:val="left"/>
        <w:rPr/>
      </w:pPr>
      <w:r>
        <w:rPr/>
      </w:r>
    </w:p>
    <w:tbl>
      <w:tblPr>
        <w:tblW w:w="13624" w:type="dxa"/>
        <w:jc w:val="center"/>
        <w:tblInd w:w="0" w:type="dxa"/>
        <w:tblLayout w:type="fixed"/>
        <w:tblCellMar>
          <w:top w:w="28" w:type="dxa"/>
          <w:left w:w="28" w:type="dxa"/>
          <w:bottom w:w="28" w:type="dxa"/>
          <w:right w:w="28" w:type="dxa"/>
        </w:tblCellMar>
      </w:tblPr>
      <w:tblGrid>
        <w:gridCol w:w="805"/>
        <w:gridCol w:w="272"/>
        <w:gridCol w:w="274"/>
        <w:gridCol w:w="711"/>
        <w:gridCol w:w="370"/>
        <w:gridCol w:w="371"/>
        <w:gridCol w:w="109"/>
        <w:gridCol w:w="109"/>
        <w:gridCol w:w="109"/>
        <w:gridCol w:w="211"/>
        <w:gridCol w:w="721"/>
        <w:gridCol w:w="109"/>
        <w:gridCol w:w="109"/>
        <w:gridCol w:w="109"/>
        <w:gridCol w:w="109"/>
        <w:gridCol w:w="211"/>
        <w:gridCol w:w="826"/>
        <w:gridCol w:w="109"/>
        <w:gridCol w:w="109"/>
        <w:gridCol w:w="109"/>
        <w:gridCol w:w="109"/>
        <w:gridCol w:w="363"/>
        <w:gridCol w:w="829"/>
        <w:gridCol w:w="189"/>
        <w:gridCol w:w="109"/>
        <w:gridCol w:w="109"/>
        <w:gridCol w:w="109"/>
        <w:gridCol w:w="211"/>
        <w:gridCol w:w="826"/>
        <w:gridCol w:w="109"/>
        <w:gridCol w:w="109"/>
        <w:gridCol w:w="109"/>
        <w:gridCol w:w="109"/>
        <w:gridCol w:w="221"/>
        <w:gridCol w:w="865"/>
        <w:gridCol w:w="115"/>
        <w:gridCol w:w="109"/>
        <w:gridCol w:w="109"/>
        <w:gridCol w:w="109"/>
        <w:gridCol w:w="289"/>
        <w:gridCol w:w="987"/>
        <w:gridCol w:w="150"/>
        <w:gridCol w:w="109"/>
        <w:gridCol w:w="109"/>
        <w:gridCol w:w="109"/>
        <w:gridCol w:w="211"/>
        <w:gridCol w:w="826"/>
        <w:gridCol w:w="154"/>
      </w:tblGrid>
      <w:tr>
        <w:trPr/>
        <w:tc>
          <w:tcPr>
            <w:tcW w:w="8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26,916,837 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475,198 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issuance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144,682 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taxes and tax benefit of vested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(56,622)</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June 30, 2026</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27,004,897 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477,557 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26,822,768 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473,594 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issuance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89,403 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taxes and tax benefit of vested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(31,503)</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June 30,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26,880,668 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471,532 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See accompanying notes. </w:t>
      </w:r>
    </w:p>
    <w:p>
      <w:pPr>
        <w:pStyle w:val="TextBody"/>
        <w:bidi w:val="0"/>
        <w:spacing w:before="80" w:after="283"/>
        <w:jc w:val="center"/>
        <w:rPr/>
      </w:pPr>
      <w:r>
        <w:rPr/>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TEJON RANCH CO.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before="60" w:after="283"/>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1.    BASIS OF PRESENTATION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summarized information of Tejon Ranch Co. and its subsidiaries (the Company, TRC or Tejon), provided pursuant to Part I, Item 1 of Form 10-Q, is unaudited and reflects all adjustments which are, in the opinion of the Company’s management, necessary for a fair statement of the results for the interim period. All such adjustments are of a normal, recurring nature. The Company has evaluated subsequent events through the date of issuance of its consolidated financial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periods ended June 30, 2026 and 2025 include the consolidation of CFL’s statements of operations within the resort/residential real estate development segment, statements of changes in equity, and statements of cash flows. The Company’s June 30, 2026 and December 31, 2025 balance sheets are presented on a consolidated basis, including the consolidation of CFL.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identified six reportable segments: commercial/industrial real estate development, multifamily, resort/residential real estate development, mineral resources, farming, and ranch operations. Information for the Company’s reportable segments is presented in its Consolidated Statements of Operations. The Company’s reportable segments follow the same accounting policies used for the Company’s consolidated financial statements. The Company uses segment operating income (loss), including equity in earnings (losses) of unconsolidated joint ventures attributable to each segment, for its commercial/industrial real estate development, resort/residential real estate development, mineral resources, farming, and ranch operations segments, and net operating income ("NOI") for its multifamily segment, as the primary measures of profitability to evaluate operating performance and allocate capital resources.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results of the period reported herein are not indicative of the results to be expected for the full year due to the seasonal nature of the Company’s agricultural activities, water activities, and timing of real estate sales and leasing activities. Historically, the Company’s largest percentages of farming revenues are recognized during the third and fourth quarters of the fiscal year.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further information and a summary of significant accounting policies, refer to the Consolidated Financial Statements and notes thereto included in the Company’s Annual Report on Form 10-K for the year ended December 31, 2025.</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Financial Instruments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Certain financial instruments are carried on the consolidated balance sheets at cost or amortized cost basis, which approximates fair value due to their short-term and highly liquid nature.  These instruments include cash and cash equivalents, restricted cash, time deposits, accounts receivable, security deposits held for customers, accounts payable, and other accrued liabilities. The fair value of the revolving line of credit also approximates its carrying value, as the interest rate is variable and approximates prevailing market interest rates for similar debt arrangements.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Cash</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is included in Prepaid expenses and other current assets within the Consolidated Balance Sheets and primarily relates to funds held in escrow. The Company had $500,000 of restricted cash as of June 30, 2026 and December 31, 2025.</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New Accounting Pronouncements Effective in Future Periods</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Expense Disaggregation Disclosures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 - Reporting Comprehensive Income - Expense Disaggregation Disclosures (Subtopic 220-40)". This ASU requires public business entities to disclose specified information about certain costs and expenses, including the amounts of purchases of inventory, employee compensation, depreciation, intangible asset amortization and depreciation, depletion and amortization recognized as part of oil- and gas-producing activities included in each relevant expense caption. The ASU also requires disclosure of a qualitative description of the amounts remaining in relevant expense captions that are not separately disaggregated quantitatively. This ASU is effective for annual reporting periods beginning after December 15, 2026. The Company is currently evaluating the impact the adoption of this standard will have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    EQUITY</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Earnings Per Share (EPS)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attributable to common stockholders is based upon the weighted-average number of shares of common stock outstanding during reporting periods. Diluted net income (loss) per share attributable to common stockholders is based upon the weighted-average number of shares of common stock outstanding and the weighted-average number of shares outstanding assuming the issuance of common stock upon exercise of stock options, warrants to purchase common stock, and the vesting of restricted stock grants per ASC Topic 260, “Earnings Per Share.”</w:t>
      </w:r>
    </w:p>
    <w:tbl>
      <w:tblPr>
        <w:tblW w:w="10205" w:type="dxa"/>
        <w:jc w:val="center"/>
        <w:tblInd w:w="0" w:type="dxa"/>
        <w:tblLayout w:type="fixed"/>
        <w:tblCellMar>
          <w:top w:w="28" w:type="dxa"/>
          <w:left w:w="28" w:type="dxa"/>
          <w:bottom w:w="28" w:type="dxa"/>
          <w:right w:w="28" w:type="dxa"/>
        </w:tblCellMar>
      </w:tblPr>
      <w:tblGrid>
        <w:gridCol w:w="889"/>
        <w:gridCol w:w="780"/>
        <w:gridCol w:w="783"/>
        <w:gridCol w:w="822"/>
        <w:gridCol w:w="398"/>
        <w:gridCol w:w="167"/>
        <w:gridCol w:w="167"/>
        <w:gridCol w:w="167"/>
        <w:gridCol w:w="167"/>
        <w:gridCol w:w="822"/>
        <w:gridCol w:w="398"/>
        <w:gridCol w:w="167"/>
        <w:gridCol w:w="123"/>
        <w:gridCol w:w="123"/>
        <w:gridCol w:w="123"/>
        <w:gridCol w:w="761"/>
        <w:gridCol w:w="459"/>
        <w:gridCol w:w="161"/>
        <w:gridCol w:w="161"/>
        <w:gridCol w:w="161"/>
        <w:gridCol w:w="161"/>
        <w:gridCol w:w="761"/>
        <w:gridCol w:w="459"/>
        <w:gridCol w:w="161"/>
        <w:gridCol w:w="123"/>
        <w:gridCol w:w="123"/>
        <w:gridCol w:w="123"/>
        <w:gridCol w:w="109"/>
        <w:gridCol w:w="109"/>
        <w:gridCol w:w="109"/>
        <w:gridCol w:w="168"/>
      </w:tblGrid>
      <w:tr>
        <w:trPr/>
        <w:tc>
          <w:tcPr>
            <w:tcW w:w="88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gridSpan w:val="2"/>
            <w:tcBorders/>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w:t>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27,004,319 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26,878,658 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26,970,907 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26,865,687 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Common stock equivalents</w:t>
            </w:r>
            <w:r>
              <w:rPr>
                <w:rFonts w:ascii="Times New Roman;serif" w:hAnsi="Times New Roman;serif"/>
                <w:b w:val="false"/>
                <w:color w:val="000000"/>
                <w:sz w:val="13"/>
              </w:rPr>
              <w:t>1</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65,372 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 outstanding</w:t>
            </w:r>
          </w:p>
        </w:tc>
        <w:tc>
          <w:tcPr>
            <w:tcW w:w="12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27,069,691 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26,878,658 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27,050,011 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26,865,687 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710"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For the three months ended June 30, 2025, 76,687 shares of restricted stock were excluded from the calculation of diluted net loss per share as the shares were antidilutive. For the six months ended June 30, 2025, 75,835 shares of restricted stock were excluded from the calculation of diluted net loss per share as the shares were antidilutive. </w:t>
            </w:r>
          </w:p>
        </w:tc>
        <w:tc>
          <w:tcPr>
            <w:tcW w:w="495" w:type="dxa"/>
            <w:gridSpan w:val="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MARKETABLE SECURITIES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ASC Topic 320, “Investments – Debt and Equity Securities,” requires that an enterprise classify all debt securities as either held-to-maturity, trading or available-for-sale. The Company has elected to classify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tbl>
      <w:tblPr>
        <w:tblW w:w="10205" w:type="dxa"/>
        <w:jc w:val="left"/>
        <w:tblInd w:w="0" w:type="dxa"/>
        <w:tblLayout w:type="fixed"/>
        <w:tblCellMar>
          <w:top w:w="28" w:type="dxa"/>
          <w:left w:w="28" w:type="dxa"/>
          <w:bottom w:w="28" w:type="dxa"/>
          <w:right w:w="28" w:type="dxa"/>
        </w:tblCellMar>
      </w:tblPr>
      <w:tblGrid>
        <w:gridCol w:w="1473"/>
        <w:gridCol w:w="1295"/>
        <w:gridCol w:w="1302"/>
        <w:gridCol w:w="313"/>
        <w:gridCol w:w="313"/>
        <w:gridCol w:w="31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8"/>
      </w:tblGrid>
      <w:tr>
        <w:trPr/>
        <w:tc>
          <w:tcPr>
            <w:tcW w:w="147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br/>
              <w:t>Hierarchy</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4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Certificates of deposit</w:t>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070"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 unrecognized gains</w:t>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Certificates of deposit</w:t>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Treasury and agency notes</w:t>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 unrecognized losses for less than 12 months</w:t>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 unrecognized gains</w:t>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Treasury and agency notes</w:t>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 notes</w:t>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070"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 unrecognized gains</w:t>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Corporate notes</w:t>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Municipal notes</w:t>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 unrecognized losses for less than 12 months</w:t>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 unrecognized losses</w:t>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Municipal notes</w:t>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15,370 </w:t>
            </w:r>
          </w:p>
        </w:tc>
        <w:tc>
          <w:tcPr>
            <w:tcW w:w="1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The Company uses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At June 30, 2026, the Company has not recorded any credit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fair market value of investment securities had a fair market value that was $35,000 below cost, consisting of gross unrealized holding losses. For the three months ended June 30, 2026, the adjustment to accumulated other comprehensive loss reflected a decrease in market value of $15,000, before the impact of a tax benefit of $4,000. For the six months ended June 30, 2026, the adjustment to accumulated other comprehensive loss reflected a decline in market value of $47,000 before the impact of an estimated tax benefit of $13,000.</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elected to exclude applicable accrued interest from both the fair value and the amortized cost basis of the available-for-sale debt securities, and separately present the accrued interest receivable balance. The accrued interest receivables balance totaled $75,000 as of June 30, 2026 and was included within the Prepaid expenses and other current assets line item of the Consolidated Balance Sheets. The Company elected not to measure an allowance for credit losses on accrued interest receivable, as an allowance on possible uncollectible accrued interest is not warranted. </w:t>
      </w:r>
    </w:p>
    <w:p>
      <w:pPr>
        <w:pStyle w:val="TextBody"/>
        <w:bidi w:val="0"/>
        <w:spacing w:lineRule="auto" w:line="288" w:before="1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U.S. Treasury and agency notes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unrealized losses on the Company's investments in U.S. Treasury and agency notes at June 30, 2026 and December 31, 2025 were caused by relative changes in interest rates since the time of purchase and not changes in credit quality. The contractual cash flows for these securities are guaranteed by U.S. government agencies. The Company intends to hold these securities to maturity and expects to recover their entire amortized cost basis. Accordingly, no allowance for credit losses was recorded as of June 30, 2026 or December 31, 2025.</w:t>
      </w:r>
    </w:p>
    <w:p>
      <w:pPr>
        <w:pStyle w:val="TextBody"/>
        <w:bidi w:val="0"/>
        <w:spacing w:lineRule="auto" w:line="288" w:before="100" w:after="283"/>
        <w:jc w:val="left"/>
        <w:rPr/>
      </w:pPr>
      <w:r>
        <w:rPr>
          <w:rFonts w:ascii="Times New Roman;serif" w:hAnsi="Times New Roman;serif"/>
          <w:b w:val="false"/>
          <w:color w:val="000000"/>
          <w:sz w:val="20"/>
          <w:u w:val="single"/>
        </w:rPr>
        <w:t>Corporate notes</w:t>
      </w:r>
      <w:r>
        <w:rPr>
          <w:color w:val="000000"/>
        </w:rPr>
        <w:t xml:space="preserv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held no corporate notes. As of December 31, 2025, the Company's investments in corporate notes were in an unrealized gain position and were with companies that had an investment grade rating from Standard &amp; Poor's. Accordingly, no allowance for credit losses was required for corporate notes as of December 31,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maturities, at par, of marketable securities as of:</w:t>
      </w:r>
    </w:p>
    <w:tbl>
      <w:tblPr>
        <w:tblW w:w="6702" w:type="dxa"/>
        <w:jc w:val="left"/>
        <w:tblInd w:w="0" w:type="dxa"/>
        <w:tblLayout w:type="fixed"/>
        <w:tblCellMar>
          <w:top w:w="28" w:type="dxa"/>
          <w:left w:w="28" w:type="dxa"/>
          <w:bottom w:w="28" w:type="dxa"/>
          <w:right w:w="28" w:type="dxa"/>
        </w:tblCellMar>
      </w:tblPr>
      <w:tblGrid>
        <w:gridCol w:w="960"/>
        <w:gridCol w:w="844"/>
        <w:gridCol w:w="850"/>
        <w:gridCol w:w="211"/>
        <w:gridCol w:w="616"/>
        <w:gridCol w:w="109"/>
        <w:gridCol w:w="109"/>
        <w:gridCol w:w="109"/>
        <w:gridCol w:w="109"/>
        <w:gridCol w:w="211"/>
        <w:gridCol w:w="616"/>
        <w:gridCol w:w="109"/>
        <w:gridCol w:w="109"/>
        <w:gridCol w:w="109"/>
        <w:gridCol w:w="109"/>
        <w:gridCol w:w="109"/>
        <w:gridCol w:w="109"/>
        <w:gridCol w:w="109"/>
        <w:gridCol w:w="109"/>
        <w:gridCol w:w="211"/>
        <w:gridCol w:w="721"/>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1413" w:type="dxa"/>
            <w:gridSpan w:val="6"/>
            <w:tcBorders/>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agency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6221" w:type="dxa"/>
        <w:jc w:val="left"/>
        <w:tblInd w:w="0" w:type="dxa"/>
        <w:tblLayout w:type="fixed"/>
        <w:tblCellMar>
          <w:top w:w="28" w:type="dxa"/>
          <w:left w:w="28" w:type="dxa"/>
          <w:bottom w:w="28" w:type="dxa"/>
          <w:right w:w="28" w:type="dxa"/>
        </w:tblCellMar>
      </w:tblPr>
      <w:tblGrid>
        <w:gridCol w:w="960"/>
        <w:gridCol w:w="844"/>
        <w:gridCol w:w="850"/>
        <w:gridCol w:w="211"/>
        <w:gridCol w:w="721"/>
        <w:gridCol w:w="109"/>
        <w:gridCol w:w="109"/>
        <w:gridCol w:w="109"/>
        <w:gridCol w:w="109"/>
        <w:gridCol w:w="211"/>
        <w:gridCol w:w="466"/>
        <w:gridCol w:w="109"/>
        <w:gridCol w:w="109"/>
        <w:gridCol w:w="109"/>
        <w:gridCol w:w="109"/>
        <w:gridCol w:w="211"/>
        <w:gridCol w:w="721"/>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agency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The Company’s investments in corporate notes are with companies that have an investment grade rating from Standard &amp; Poor’s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4.     REAL ESTATE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accumulated real estate development costs by project consisted of the following:</w:t>
      </w:r>
    </w:p>
    <w:tbl>
      <w:tblPr>
        <w:tblW w:w="7586" w:type="dxa"/>
        <w:jc w:val="left"/>
        <w:tblInd w:w="0" w:type="dxa"/>
        <w:tblLayout w:type="fixed"/>
        <w:tblCellMar>
          <w:top w:w="28" w:type="dxa"/>
          <w:left w:w="28" w:type="dxa"/>
          <w:bottom w:w="28" w:type="dxa"/>
          <w:right w:w="28" w:type="dxa"/>
        </w:tblCellMar>
      </w:tblPr>
      <w:tblGrid>
        <w:gridCol w:w="1553"/>
        <w:gridCol w:w="1364"/>
        <w:gridCol w:w="1372"/>
        <w:gridCol w:w="229"/>
        <w:gridCol w:w="898"/>
        <w:gridCol w:w="118"/>
        <w:gridCol w:w="109"/>
        <w:gridCol w:w="109"/>
        <w:gridCol w:w="109"/>
        <w:gridCol w:w="305"/>
        <w:gridCol w:w="1197"/>
        <w:gridCol w:w="223"/>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development</w:t>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Mountain Village</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161,388 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Centennial</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128,549 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Grapevine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Tejon Ranch Commerce Center</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development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360,470 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356,567 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and improvements - held for lease</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Tejon Ranch Commerce Center</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Commercial</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Multifamily</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and improvements - held for lease, gross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84,814 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Commercial</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Multifamily</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and improvements - held for lease, net</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79,177 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5.     LONG-TERM WATER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Long-term water assets consist of water and water purchase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TCWD in Kern County Water Banks.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secured SWP water purchase contracts from the Tulare Lake Basin Water Storage District and the Dudley-Ridge Water District, totaling 3,444 acre-feet of SWP water annually, subject to SWP allocations. These contracts extend through 2085 and have been transferred to AVEK for the Company's use in the Antelope Valley. In 2013, the Company acquired a contract to purchase water that obligates the Company to purchase 6,693 acre-feet of water each year from the Nickel Family, LLC, or Nickel, a California limited liability company that is located in Kern County.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initial term of the water purchase agreement with Nickel runs to 2044 and includes a Company option to extend the contract for an additional 35 years. The purchase cost of water in 2026 is $1,021 per acre-foot. The purchase cost is subject to annual cost increases based on the greater of the Consumer Price Index or 3%. </w:t>
      </w:r>
    </w:p>
    <w:p>
      <w:pPr>
        <w:pStyle w:val="TextBody"/>
        <w:bidi w:val="0"/>
        <w:spacing w:lineRule="auto" w:line="268" w:before="100" w:after="283"/>
        <w:jc w:val="left"/>
        <w:rPr>
          <w:rFonts w:ascii="Times New Roman;serif" w:hAnsi="Times New Roman;serif"/>
          <w:b w:val="false"/>
          <w:color w:val="000000"/>
          <w:sz w:val="20"/>
        </w:rPr>
      </w:pPr>
      <w:r>
        <w:rPr>
          <w:rFonts w:ascii="Times New Roman;serif" w:hAnsi="Times New Roman;serif"/>
          <w:b w:val="false"/>
          <w:color w:val="000000"/>
          <w:sz w:val="20"/>
        </w:rPr>
        <w:t>The water purchased above will ultimately be used in the development of the Company’s land for commercial/industrial real estate development, resort/residential real estate development, and farming. Interim uses may include the sale of portions of this water to third-party users on an annual basis until this water is fully allocated to Company uses, as just described.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Water revenues and cost of sales were as follows for the six months ended ($ in thousands):</w:t>
      </w:r>
    </w:p>
    <w:tbl>
      <w:tblPr>
        <w:tblW w:w="4180" w:type="dxa"/>
        <w:jc w:val="center"/>
        <w:tblInd w:w="0" w:type="dxa"/>
        <w:tblLayout w:type="fixed"/>
        <w:tblCellMar>
          <w:top w:w="28" w:type="dxa"/>
          <w:left w:w="28" w:type="dxa"/>
          <w:bottom w:w="28" w:type="dxa"/>
          <w:right w:w="28" w:type="dxa"/>
        </w:tblCellMar>
      </w:tblPr>
      <w:tblGrid>
        <w:gridCol w:w="477"/>
        <w:gridCol w:w="420"/>
        <w:gridCol w:w="422"/>
        <w:gridCol w:w="280"/>
        <w:gridCol w:w="820"/>
        <w:gridCol w:w="145"/>
        <w:gridCol w:w="109"/>
        <w:gridCol w:w="109"/>
        <w:gridCol w:w="109"/>
        <w:gridCol w:w="277"/>
        <w:gridCol w:w="810"/>
        <w:gridCol w:w="202"/>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Acre-Feet Sold</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Costs assigned to water assets held for future use were as follows ($ in thousands):</w:t>
      </w:r>
    </w:p>
    <w:tbl>
      <w:tblPr>
        <w:tblW w:w="6865" w:type="dxa"/>
        <w:jc w:val="center"/>
        <w:tblInd w:w="0" w:type="dxa"/>
        <w:tblLayout w:type="fixed"/>
        <w:tblCellMar>
          <w:top w:w="28" w:type="dxa"/>
          <w:left w:w="28" w:type="dxa"/>
          <w:bottom w:w="28" w:type="dxa"/>
          <w:right w:w="28" w:type="dxa"/>
        </w:tblCellMar>
      </w:tblPr>
      <w:tblGrid>
        <w:gridCol w:w="1292"/>
        <w:gridCol w:w="1135"/>
        <w:gridCol w:w="1143"/>
        <w:gridCol w:w="252"/>
        <w:gridCol w:w="862"/>
        <w:gridCol w:w="130"/>
        <w:gridCol w:w="109"/>
        <w:gridCol w:w="109"/>
        <w:gridCol w:w="109"/>
        <w:gridCol w:w="335"/>
        <w:gridCol w:w="1145"/>
        <w:gridCol w:w="244"/>
      </w:tblGrid>
      <w:tr>
        <w:trPr/>
        <w:tc>
          <w:tcPr>
            <w:tcW w:w="12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Banked water and water for future delivery</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Transferable water</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water held for future use at cost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44,947 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Intangible Water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carrying amounts of its purchased water contracts were as follows ($ in thousands):</w:t>
      </w:r>
    </w:p>
    <w:tbl>
      <w:tblPr>
        <w:tblW w:w="10205" w:type="dxa"/>
        <w:jc w:val="center"/>
        <w:tblInd w:w="0" w:type="dxa"/>
        <w:tblLayout w:type="fixed"/>
        <w:tblCellMar>
          <w:top w:w="28" w:type="dxa"/>
          <w:left w:w="28" w:type="dxa"/>
          <w:bottom w:w="28" w:type="dxa"/>
          <w:right w:w="28" w:type="dxa"/>
        </w:tblCellMar>
      </w:tblPr>
      <w:tblGrid>
        <w:gridCol w:w="1115"/>
        <w:gridCol w:w="979"/>
        <w:gridCol w:w="984"/>
        <w:gridCol w:w="211"/>
        <w:gridCol w:w="721"/>
        <w:gridCol w:w="109"/>
        <w:gridCol w:w="109"/>
        <w:gridCol w:w="109"/>
        <w:gridCol w:w="109"/>
        <w:gridCol w:w="399"/>
        <w:gridCol w:w="1399"/>
        <w:gridCol w:w="209"/>
        <w:gridCol w:w="109"/>
        <w:gridCol w:w="109"/>
        <w:gridCol w:w="109"/>
        <w:gridCol w:w="211"/>
        <w:gridCol w:w="721"/>
        <w:gridCol w:w="109"/>
        <w:gridCol w:w="109"/>
        <w:gridCol w:w="109"/>
        <w:gridCol w:w="109"/>
        <w:gridCol w:w="392"/>
        <w:gridCol w:w="1371"/>
        <w:gridCol w:w="294"/>
      </w:tblGrid>
      <w:tr>
        <w:trPr/>
        <w:tc>
          <w:tcPr>
            <w:tcW w:w="111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Depreciation</w:t>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Dudley-Ridge water purchase contract </w:t>
            </w:r>
            <w:r>
              <w:rPr>
                <w:rFonts w:ascii="Times New Roman;serif" w:hAnsi="Times New Roman;serif"/>
                <w:b w:val="false"/>
                <w:color w:val="000000"/>
                <w:sz w:val="13"/>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Nickel water purchase contract </w:t>
            </w:r>
            <w:r>
              <w:rPr>
                <w:rFonts w:ascii="Times New Roman;serif" w:hAnsi="Times New Roman;serif"/>
                <w:b w:val="false"/>
                <w:color w:val="000000"/>
                <w:sz w:val="13"/>
              </w:rPr>
              <w: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(8,139)</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(7,817)</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Tulare Lake Basin water purchase contract </w:t>
            </w:r>
            <w:r>
              <w:rPr>
                <w:rFonts w:ascii="Times New Roman;serif" w:hAnsi="Times New Roman;serif"/>
                <w:b w:val="false"/>
                <w:color w:val="000000"/>
                <w:sz w:val="13"/>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(19,837)</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(19,154)</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cost of purchased water contracts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water held for future use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investments in water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w:t>
            </w:r>
            <w:r>
              <w:rPr>
                <w:rFonts w:ascii="Times New Roman;serif" w:hAnsi="Times New Roman;serif"/>
                <w:b w:val="false"/>
                <w:color w:val="000000"/>
                <w:sz w:val="16"/>
              </w:rPr>
              <w:t>All water purchase contracts were acquired from third parties.</w:t>
            </w:r>
          </w:p>
        </w:tc>
      </w:tr>
      <w:tr>
        <w:trPr/>
        <w:tc>
          <w:tcPr>
            <w:tcW w:w="307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r>
      <w:tr>
        <w:trPr/>
        <w:tc>
          <w:tcPr>
            <w:tcW w:w="307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r>
      <w:tr>
        <w:trPr/>
        <w:tc>
          <w:tcPr>
            <w:tcW w:w="307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Water contracts with WRMWSD and TCWD are also in place, but were entered into with each district at inception of the contract and not purchased later from third parties, and do not have a related financial value on the books of the Company. Therefore, there is no amortization expense related to these contracts. Total water resources, including both recurring and one-time usage are:</w:t>
      </w:r>
    </w:p>
    <w:tbl>
      <w:tblPr>
        <w:tblW w:w="8321" w:type="dxa"/>
        <w:jc w:val="center"/>
        <w:tblInd w:w="0" w:type="dxa"/>
        <w:tblLayout w:type="fixed"/>
        <w:tblCellMar>
          <w:top w:w="28" w:type="dxa"/>
          <w:left w:w="28" w:type="dxa"/>
          <w:bottom w:w="28" w:type="dxa"/>
          <w:right w:w="28" w:type="dxa"/>
        </w:tblCellMar>
      </w:tblPr>
      <w:tblGrid>
        <w:gridCol w:w="1821"/>
        <w:gridCol w:w="1596"/>
        <w:gridCol w:w="1608"/>
        <w:gridCol w:w="414"/>
        <w:gridCol w:w="414"/>
        <w:gridCol w:w="417"/>
        <w:gridCol w:w="109"/>
        <w:gridCol w:w="109"/>
        <w:gridCol w:w="109"/>
        <w:gridCol w:w="504"/>
        <w:gridCol w:w="504"/>
        <w:gridCol w:w="716"/>
      </w:tblGrid>
      <w:tr>
        <w:trPr/>
        <w:tc>
          <w:tcPr>
            <w:tcW w:w="182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acre-feet, unaudited)</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held for future use</w:t>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TCWD - Banked water owned by the Company</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61,341 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65,199 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water bank</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54,728 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54,728 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Transferable water</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Recharged water</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6,797 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6,797 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water held for future use</w:t>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130,128 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126,989 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water contracts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Contracts (Dudley-Ridge, Nickel and Tulare)</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10,137 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10,137 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WRMWSD - Contracts with the Company</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15,547 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15,547 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TCWD - Contracts with the Company</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purchased water contracts</w:t>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31,433 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31,433 </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water held for future use and purchased water contracts</w:t>
            </w:r>
          </w:p>
        </w:tc>
        <w:tc>
          <w:tcPr>
            <w:tcW w:w="8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161,561 </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158,422 </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96" w:type="dxa"/>
            <w:gridSpan w:val="9"/>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6.     ACCRUED LIABILITIES AND OTHER CURRENT LIABILITIES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 current liabilities consisted of the following:</w:t>
      </w:r>
    </w:p>
    <w:tbl>
      <w:tblPr>
        <w:tblW w:w="7105" w:type="dxa"/>
        <w:jc w:val="center"/>
        <w:tblInd w:w="0" w:type="dxa"/>
        <w:tblLayout w:type="fixed"/>
        <w:tblCellMar>
          <w:top w:w="28" w:type="dxa"/>
          <w:left w:w="28" w:type="dxa"/>
          <w:bottom w:w="28" w:type="dxa"/>
          <w:right w:w="28" w:type="dxa"/>
        </w:tblCellMar>
      </w:tblPr>
      <w:tblGrid>
        <w:gridCol w:w="1088"/>
        <w:gridCol w:w="955"/>
        <w:gridCol w:w="963"/>
        <w:gridCol w:w="348"/>
        <w:gridCol w:w="1021"/>
        <w:gridCol w:w="180"/>
        <w:gridCol w:w="135"/>
        <w:gridCol w:w="135"/>
        <w:gridCol w:w="135"/>
        <w:gridCol w:w="461"/>
        <w:gridCol w:w="1348"/>
        <w:gridCol w:w="336"/>
      </w:tblGrid>
      <w:tr>
        <w:trPr/>
        <w:tc>
          <w:tcPr>
            <w:tcW w:w="108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paid personal leave</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3006"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California property taxes are accrued throughout the year and are paid every April and December.</w:t>
            </w:r>
          </w:p>
        </w:tc>
      </w:tr>
      <w:tr>
        <w:trPr/>
        <w:tc>
          <w:tcPr>
            <w:tcW w:w="3006" w:type="dxa"/>
            <w:gridSpan w:val="3"/>
            <w:tcBorders/>
            <w:vAlign w:val="center"/>
          </w:tcPr>
          <w:p>
            <w:pPr>
              <w:pStyle w:val="TableContents"/>
              <w:bidi w:val="0"/>
              <w:spacing w:before="0" w:after="283"/>
              <w:jc w:val="left"/>
              <w:rPr>
                <w:sz w:val="4"/>
                <w:szCs w:val="4"/>
              </w:rPr>
            </w:pPr>
            <w:r>
              <w:rPr>
                <w:sz w:val="4"/>
                <w:szCs w:val="4"/>
              </w:rPr>
            </w:r>
          </w:p>
        </w:tc>
        <w:tc>
          <w:tcPr>
            <w:tcW w:w="4099" w:type="dxa"/>
            <w:gridSpan w:val="9"/>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7.     LINE OF CREDIT AND LONG-TERM DEBT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Debt consisted of revolving line of credit balance of $95,942,000 as of June 30, 2026, and $93,942,000 as of December 31, 2025.</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On November 17, 2023, the Company entered into a Credit Agreement with AgWest Farm Credit, PCA and certain other lenders. The Revolving Credit Facility provides TRC a RCL in the amount of $160,000,000. The RCL requires interest only payments and has a maturity date of January 1, 2029. As of June 30, 2026, the outstanding balance under the RCL was $95,942,000, and the interest rate was one-month term SOFR plus a margin of 2.25% for an effective rate of 5.95% before patronage. The Company received patronage credit from the participating lenders of 116 basis points in 2026 and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8.     OTHER LIABILITIES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consisted of the following:</w:t>
      </w:r>
    </w:p>
    <w:tbl>
      <w:tblPr>
        <w:tblW w:w="8500" w:type="dxa"/>
        <w:jc w:val="center"/>
        <w:tblInd w:w="0" w:type="dxa"/>
        <w:tblLayout w:type="fixed"/>
        <w:tblCellMar>
          <w:top w:w="28" w:type="dxa"/>
          <w:left w:w="28" w:type="dxa"/>
          <w:bottom w:w="28" w:type="dxa"/>
          <w:right w:w="28" w:type="dxa"/>
        </w:tblCellMar>
      </w:tblPr>
      <w:tblGrid>
        <w:gridCol w:w="1882"/>
        <w:gridCol w:w="1656"/>
        <w:gridCol w:w="1667"/>
        <w:gridCol w:w="252"/>
        <w:gridCol w:w="862"/>
        <w:gridCol w:w="130"/>
        <w:gridCol w:w="109"/>
        <w:gridCol w:w="109"/>
        <w:gridCol w:w="109"/>
        <w:gridCol w:w="335"/>
        <w:gridCol w:w="1145"/>
        <w:gridCol w:w="244"/>
      </w:tblGrid>
      <w:tr>
        <w:trPr/>
        <w:tc>
          <w:tcPr>
            <w:tcW w:w="1882"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executive retirement plan liability (See Note 12)</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joint venture distributions and other (See Note 14)</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15,697 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3295"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9.     STOCK COMPENSATION - RESTRICTED STOCK AND PERFORMANCE SHARE GRANTS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stock incentive plans provide for the making of awards to employees based upon a service condition or through the achievement of performance-related objectives. The Company has issued three types of stock grant awards under these plans: restricted stock that vests based upon a service condition; performance share grants that vest based upon the achievement of a market condition (Market Condition Grants); and performance share grants that include threshold, target, and maximum achievement levels based upon the achievement of specific performance measures (Performance Milestone Grants). Market Condition Grants consist of awards that vest based upon the Company's total shareholder return relative to a designated peer group (rTSR Grants) and awards that vest upon the achievement of a target share price (Price Vesting Unit Awards). The grant date fair value of Market Condition Grants is determined using a Monte Carlo simulation. Failure to achieve the market condition results in the forfeiture of the shares. Forfeiture of awards with service conditions or performance conditions results in a reversal of previously recognized share-based compensation expense, while forfeiture of awards with market conditions does not.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stock grant activity, both time and performance unit grants, assuming target achievement for outstanding performance grants for the six months ended June 30, 2026:</w:t>
      </w:r>
    </w:p>
    <w:tbl>
      <w:tblPr>
        <w:tblW w:w="7175" w:type="dxa"/>
        <w:jc w:val="center"/>
        <w:tblInd w:w="0" w:type="dxa"/>
        <w:tblLayout w:type="fixed"/>
        <w:tblCellMar>
          <w:top w:w="28" w:type="dxa"/>
          <w:left w:w="28" w:type="dxa"/>
          <w:bottom w:w="28" w:type="dxa"/>
          <w:right w:w="28" w:type="dxa"/>
        </w:tblCellMar>
      </w:tblPr>
      <w:tblGrid>
        <w:gridCol w:w="2028"/>
        <w:gridCol w:w="1781"/>
        <w:gridCol w:w="1786"/>
        <w:gridCol w:w="451"/>
        <w:gridCol w:w="449"/>
        <w:gridCol w:w="417"/>
        <w:gridCol w:w="109"/>
        <w:gridCol w:w="154"/>
      </w:tblGrid>
      <w:tr>
        <w:trPr/>
        <w:tc>
          <w:tcPr>
            <w:tcW w:w="2028"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grants outstanding beginning of period at target achievement</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364,798 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stock grants/additional shares</w:t>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158,199 </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grants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(135,643)</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Expired/forfeited grants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(74,802)</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grants outstanding end of period at target achievement</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312,552 </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stock grants outstanding at target achievement consisted of 138,861 shares of restricted stock that vest based upon a service condition and 173,691 performance share grants (Market Condition Grants and Performance Milestone Grants). The following summarizes the shares issuable under outstanding performance share grants at each achievement level:</w:t>
      </w:r>
    </w:p>
    <w:tbl>
      <w:tblPr>
        <w:tblW w:w="3531" w:type="dxa"/>
        <w:jc w:val="center"/>
        <w:tblInd w:w="0" w:type="dxa"/>
        <w:tblLayout w:type="fixed"/>
        <w:tblCellMar>
          <w:top w:w="28" w:type="dxa"/>
          <w:left w:w="28" w:type="dxa"/>
          <w:bottom w:w="28" w:type="dxa"/>
          <w:right w:w="28" w:type="dxa"/>
        </w:tblCellMar>
      </w:tblPr>
      <w:tblGrid>
        <w:gridCol w:w="728"/>
        <w:gridCol w:w="641"/>
        <w:gridCol w:w="641"/>
        <w:gridCol w:w="541"/>
        <w:gridCol w:w="413"/>
        <w:gridCol w:w="413"/>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1"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Performance Share Grants </w:t>
            </w:r>
          </w:p>
        </w:tc>
        <w:tc>
          <w:tcPr>
            <w:tcW w:w="980" w:type="dxa"/>
            <w:gridSpan w:val="3"/>
            <w:tcBorders/>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Threshold performance</w:t>
            </w:r>
          </w:p>
        </w:tc>
        <w:tc>
          <w:tcPr>
            <w:tcW w:w="541"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 performance</w:t>
            </w:r>
          </w:p>
        </w:tc>
        <w:tc>
          <w:tcPr>
            <w:tcW w:w="541"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performance</w:t>
            </w:r>
          </w:p>
        </w:tc>
        <w:tc>
          <w:tcPr>
            <w:tcW w:w="541"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283"/>
        <w:jc w:val="left"/>
        <w:rPr>
          <w:rFonts w:ascii="Times New Roman;serif" w:hAnsi="Times New Roman;serif"/>
          <w:b/>
          <w:i/>
          <w:color w:val="000000"/>
          <w:sz w:val="20"/>
        </w:rPr>
      </w:pPr>
      <w:r>
        <w:rPr>
          <w:rFonts w:ascii="Times New Roman;serif" w:hAnsi="Times New Roman;serif"/>
          <w:b/>
          <w:i/>
          <w:color w:val="000000"/>
          <w:sz w:val="20"/>
        </w:rPr>
        <w:t>Price Vesting Units Awards</w:t>
      </w:r>
    </w:p>
    <w:p>
      <w:pPr>
        <w:pStyle w:val="TextBody"/>
        <w:bidi w:val="0"/>
        <w:spacing w:lineRule="auto" w:line="26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assumptions used to determine the grant date fair value of the Company's Price Vesting Unit Awards outstanding as of June 30, 2026:</w:t>
      </w:r>
    </w:p>
    <w:tbl>
      <w:tblPr>
        <w:tblW w:w="10205" w:type="dxa"/>
        <w:jc w:val="center"/>
        <w:tblInd w:w="0" w:type="dxa"/>
        <w:tblLayout w:type="fixed"/>
        <w:tblCellMar>
          <w:top w:w="28" w:type="dxa"/>
          <w:left w:w="28" w:type="dxa"/>
          <w:bottom w:w="28" w:type="dxa"/>
          <w:right w:w="28" w:type="dxa"/>
        </w:tblCellMar>
      </w:tblPr>
      <w:tblGrid>
        <w:gridCol w:w="1169"/>
        <w:gridCol w:w="1028"/>
        <w:gridCol w:w="1035"/>
        <w:gridCol w:w="109"/>
        <w:gridCol w:w="109"/>
        <w:gridCol w:w="109"/>
        <w:gridCol w:w="353"/>
        <w:gridCol w:w="351"/>
        <w:gridCol w:w="353"/>
        <w:gridCol w:w="109"/>
        <w:gridCol w:w="109"/>
        <w:gridCol w:w="109"/>
        <w:gridCol w:w="353"/>
        <w:gridCol w:w="351"/>
        <w:gridCol w:w="353"/>
        <w:gridCol w:w="109"/>
        <w:gridCol w:w="109"/>
        <w:gridCol w:w="109"/>
        <w:gridCol w:w="353"/>
        <w:gridCol w:w="351"/>
        <w:gridCol w:w="353"/>
        <w:gridCol w:w="109"/>
        <w:gridCol w:w="109"/>
        <w:gridCol w:w="109"/>
        <w:gridCol w:w="353"/>
        <w:gridCol w:w="351"/>
        <w:gridCol w:w="353"/>
        <w:gridCol w:w="109"/>
        <w:gridCol w:w="109"/>
        <w:gridCol w:w="109"/>
        <w:gridCol w:w="323"/>
        <w:gridCol w:w="321"/>
        <w:gridCol w:w="466"/>
      </w:tblGrid>
      <w:tr>
        <w:trPr/>
        <w:tc>
          <w:tcPr>
            <w:tcW w:w="116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3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 except for share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03/13/2024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03/06/2025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06/20/2025</w:t>
            </w:r>
          </w:p>
        </w:tc>
      </w:tr>
      <w:tr>
        <w:trPr/>
        <w:tc>
          <w:tcPr>
            <w:tcW w:w="3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03/22/2027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12/10/2027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03/06/2028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06/20/2028</w:t>
            </w:r>
          </w:p>
        </w:tc>
      </w:tr>
      <w:tr>
        <w:trPr/>
        <w:tc>
          <w:tcPr>
            <w:tcW w:w="3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 share price to achieve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$19.01</w:t>
            </w:r>
          </w:p>
        </w:tc>
      </w:tr>
      <w:tr>
        <w:trPr/>
        <w:tc>
          <w:tcPr>
            <w:tcW w:w="3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26.82%</w:t>
            </w:r>
          </w:p>
        </w:tc>
      </w:tr>
      <w:tr>
        <w:trPr/>
        <w:tc>
          <w:tcPr>
            <w:tcW w:w="3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3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Simulated Monte Carlo share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$18.53</w:t>
            </w:r>
          </w:p>
        </w:tc>
      </w:tr>
      <w:tr>
        <w:trPr/>
        <w:tc>
          <w:tcPr>
            <w:tcW w:w="3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18,351</w:t>
            </w:r>
          </w:p>
        </w:tc>
      </w:tr>
      <w:tr>
        <w:trPr/>
        <w:tc>
          <w:tcPr>
            <w:tcW w:w="3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280" w:after="283"/>
        <w:jc w:val="left"/>
        <w:rPr>
          <w:rFonts w:ascii="Times New Roman;serif" w:hAnsi="Times New Roman;serif"/>
          <w:b/>
          <w:i/>
          <w:color w:val="000000"/>
          <w:sz w:val="20"/>
        </w:rPr>
      </w:pPr>
      <w:r>
        <w:rPr>
          <w:rFonts w:ascii="Times New Roman;serif" w:hAnsi="Times New Roman;serif"/>
          <w:b/>
          <w:i/>
          <w:color w:val="000000"/>
          <w:sz w:val="20"/>
        </w:rPr>
        <w:t>Relative Total Shareholder Return Awards</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rTSR awards were outstanding as of the six months ended June 30, 2026. The Company granted performance stock unit awards for which vesting is contingent upon the Company's total shareholder return ("TSR") relative to the constituents of the S&amp;P 600 SmallCap Real Estate Index over a performance period ending December 29, 2028 (the "rTSR awards"). Because the number of shares that ultimately vest depends on the Company's stock price performance relative to a peer group, the rTSR awards contain a market condition as defined in ASC Topic 718, Compensation — Stock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payout of the rTSR awards ranges from 0% to 150% of the target number of units based on the Company's relative TSR percentile ranking against the peer group: 0% for performance below the 25th percentile, 50% (threshold) at the 25th percentile, 100% (target) at the 50th percentile, and 150% (maximum) at or above the 75th percentile, with straight-line interpolation between levels. If the Company's absolute TSR over the performance period is negative, the payout is capped at 100% of target.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grant-date fair value of the rTSR awards was estimated using a Monte Carlo simulation, which incorporates the correlated stock-price movements of the Company and each peer company. The following rTSR awards were outstanding as of the six months ended June 30, 2026:</w:t>
      </w:r>
    </w:p>
    <w:tbl>
      <w:tblPr>
        <w:tblW w:w="7814" w:type="dxa"/>
        <w:jc w:val="center"/>
        <w:tblInd w:w="0" w:type="dxa"/>
        <w:tblLayout w:type="fixed"/>
        <w:tblCellMar>
          <w:top w:w="28" w:type="dxa"/>
          <w:left w:w="28" w:type="dxa"/>
          <w:bottom w:w="28" w:type="dxa"/>
          <w:right w:w="28" w:type="dxa"/>
        </w:tblCellMar>
      </w:tblPr>
      <w:tblGrid>
        <w:gridCol w:w="1182"/>
        <w:gridCol w:w="1040"/>
        <w:gridCol w:w="1047"/>
        <w:gridCol w:w="109"/>
        <w:gridCol w:w="109"/>
        <w:gridCol w:w="109"/>
        <w:gridCol w:w="109"/>
        <w:gridCol w:w="109"/>
        <w:gridCol w:w="109"/>
        <w:gridCol w:w="354"/>
        <w:gridCol w:w="354"/>
        <w:gridCol w:w="356"/>
        <w:gridCol w:w="109"/>
        <w:gridCol w:w="109"/>
        <w:gridCol w:w="109"/>
        <w:gridCol w:w="354"/>
        <w:gridCol w:w="354"/>
        <w:gridCol w:w="356"/>
        <w:gridCol w:w="109"/>
        <w:gridCol w:w="109"/>
        <w:gridCol w:w="109"/>
        <w:gridCol w:w="324"/>
        <w:gridCol w:w="324"/>
        <w:gridCol w:w="461"/>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 except for share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03/17/2026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04/21/2026</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12/29/2028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12/29/2028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12/29/2028</w:t>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25.90%</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3.73%</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Simulated Fair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$20.12</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637</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unamortized cost associated with unvested stock grants and the weighted average period over which it is expected to be recognized as of June 30, 2026 were $2,818,000 and 22 months, respectively. </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compensation costs for the Company's 2023 Stock Incentive Plan, 1998 Stock Incentive Plan, and the prior Non-Employee Director Stock Incentive Plan for the following periods:</w:t>
      </w:r>
    </w:p>
    <w:tbl>
      <w:tblPr>
        <w:tblW w:w="10205" w:type="dxa"/>
        <w:jc w:val="center"/>
        <w:tblInd w:w="0" w:type="dxa"/>
        <w:tblLayout w:type="fixed"/>
        <w:tblCellMar>
          <w:top w:w="28" w:type="dxa"/>
          <w:left w:w="28" w:type="dxa"/>
          <w:bottom w:w="28" w:type="dxa"/>
          <w:right w:w="28" w:type="dxa"/>
        </w:tblCellMar>
      </w:tblPr>
      <w:tblGrid>
        <w:gridCol w:w="1943"/>
        <w:gridCol w:w="1709"/>
        <w:gridCol w:w="1715"/>
        <w:gridCol w:w="487"/>
        <w:gridCol w:w="1076"/>
        <w:gridCol w:w="251"/>
        <w:gridCol w:w="251"/>
        <w:gridCol w:w="251"/>
        <w:gridCol w:w="251"/>
        <w:gridCol w:w="487"/>
        <w:gridCol w:w="1424"/>
        <w:gridCol w:w="360"/>
      </w:tblGrid>
      <w:tr>
        <w:trPr/>
        <w:tc>
          <w:tcPr>
            <w:tcW w:w="1943"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5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4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w:t>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Expensed</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Capitalized</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 compensation costs</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Stock compensation costs during the six months ended June 30, 2026 include a reversal of previously recorded amounts due to a change in estimate.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180" w:after="283"/>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provision for income taxes has been calculated by applying an estimate of the annual effective tax rate for the full year to “ordinary” income or loss (pre-tax income or loss excluding unusual or infrequently occurring discrete items). For the six months ended June 30, 2026, the Company’s income tax expense was $902,000 compared to an income tax benefit of $837,000 for the six months ended June 30, 2025. Effective tax rates were 24% and 21% for </w:t>
      </w:r>
      <w:bookmarkStart w:id="1" w:name="id2c5543f924c4c77a9f68f288e4e9e8e_1028"/>
      <w:bookmarkEnd w:id="1"/>
      <w:r>
        <w:rPr>
          <w:rFonts w:ascii="Times New Roman;serif" w:hAnsi="Times New Roman;serif"/>
          <w:b w:val="false"/>
          <w:color w:val="000000"/>
          <w:sz w:val="20"/>
        </w:rPr>
        <w:t>the six months ended June 30, 2026 and 2025, respectively. As of June 30, 2026, the Company had income tax receivables of $590,000. The Company classifies interest and penalties incurred on tax payments as income tax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Company’s effective tax rate varied from the statutory tax rates primarily due to permanent differences related to Internal Revenue Code Section 162(m) limitations, state taxes and mineral depletion. Internal Revenue Code Section 162(m) compensation deduction limitations occurred as a result of changes in tax law arising from the 2017 Tax Cuts and Jobs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11.     COMMITMENTS AND CONTINGENCIES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Water Contracts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water contracts are secured by the Company's land and require minimum annual payments. During the six months ended June 30, 2026, the Company made payments totaling $11,184,000 under its WRMWSD, TCWD and Nickel water contracts, as summarized below. Each contract serves a different operational or strategic purpose, and the related payments may be expensed, capitalized to crop costs or recorded as investments in long-term water assets depending on the nature and intended use of the water.</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Water Contract Payments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Six Months Ended June 30, 2026</w:t>
      </w:r>
    </w:p>
    <w:tbl>
      <w:tblPr>
        <w:tblW w:w="10205" w:type="dxa"/>
        <w:jc w:val="left"/>
        <w:tblInd w:w="0" w:type="dxa"/>
        <w:tblLayout w:type="fixed"/>
        <w:tblCellMar>
          <w:top w:w="28" w:type="dxa"/>
          <w:left w:w="28" w:type="dxa"/>
          <w:bottom w:w="28" w:type="dxa"/>
          <w:right w:w="28" w:type="dxa"/>
        </w:tblCellMar>
      </w:tblPr>
      <w:tblGrid>
        <w:gridCol w:w="489"/>
        <w:gridCol w:w="369"/>
        <w:gridCol w:w="362"/>
        <w:gridCol w:w="2447"/>
        <w:gridCol w:w="2417"/>
        <w:gridCol w:w="2346"/>
        <w:gridCol w:w="211"/>
        <w:gridCol w:w="1081"/>
        <w:gridCol w:w="109"/>
        <w:gridCol w:w="109"/>
        <w:gridCol w:w="109"/>
        <w:gridCol w:w="156"/>
      </w:tblGrid>
      <w:tr>
        <w:trPr/>
        <w:tc>
          <w:tcPr>
            <w:tcW w:w="48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Contract</w:t>
            </w:r>
          </w:p>
        </w:tc>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Primary Purpose</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WRMWSD</w:t>
            </w:r>
          </w:p>
        </w:tc>
        <w:tc>
          <w:tcPr>
            <w:tcW w:w="7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water to the Company's farming operations and planned residential development at Grapevine North.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TCWD</w:t>
            </w:r>
          </w:p>
        </w:tc>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Supports commercial development at TRCC, the Company's farming operations, and planned residential development at Mountain Village.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Nickel</w:t>
            </w:r>
          </w:p>
        </w:tc>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Supports third-party water sales and future Grapevine residential development.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11,184,000 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WRMWSD and TCWD contracts run through 2085, and the Nickel water contract runs through 2044, with an option to extend an additional 35 years. The Company's contractual obligation for future water payments was $1,518,456,000 as of June 30, 2026.</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Contracts</w:t>
      </w:r>
    </w:p>
    <w:p>
      <w:pPr>
        <w:pStyle w:val="TextBody"/>
        <w:bidi w:val="0"/>
        <w:spacing w:lineRule="auto" w:line="26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terminated a consulting arrangement in 2014 related to the Grapevine at Tejon Ranch development (Grapevine) and remains obligated to pay an incentive fee upon obtaining certain regulatory approvals (Regulatory Approvals). The fee is based on the increase in the property’s fair market value over a base value, to be determined at the time Regulatory Approvals are obtained, with an additional fee measured from the property’s fair market value five years thereafter. The final amount will be determined at those future valuation dates, and, at this time, the fees cannot be reasonably estimated.</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Community Facilities Districts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TRPFFA is a joint powers authority formed by Kern County and TCWD to finance public infrastructure within the Company’s Kern County developments. For the development of TRCC, TRPFFA has created two CFDs: the West CFD and the East CFD. The West CFD has placed liens on 420 acres of the Company’s land to secure payment of special taxes related to $19,540,000 of outstanding bond debt sold by TRPFFA for TRCC-West. The East CFD has placed liens on 1,931 acres of the Company’s land to secure payments of special taxes related to $95,660,000 of outstanding bond debt sold by TRPFFA for TRCC-East. At TRCC-West, the West CFD has no additional bond debt approved for issuance. At TRCC-East, the East CFD has approximately $18,605,000 of additional bond debt authorized by TRPFFA that can be sold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a landowner in each CFD, the Company is obligated to pay its share of the special taxes assessed each year. The secured lands include both the TRCC-West and TRCC-East developments. Proceeds from the sale of West CFD bonds went to reimburse the Company for public infrastructure costs related to the TRCC-West development. As of June 30, 2026, there were no additional improvement funds remaining from the West CFD bonds. On July 25, 2024, TRPFFA sold bonds that provide approximately $25,000,000 of improvement funds for the reimbursement of public infrastructure costs at TRCC-East. As of June 30, 2026, there are $10,440,000 of additional improvement funds remaining within the East CFD bonds for reimbursement of public infrastructure costs during future years. During fiscal year 2026, the Company expects to pay approximately $3,867,000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assessment of each individual property sold or leased is not determinable at this time, because it is based on the current tax rate and assessed value of the property at the time of sale or on its assessed value at the time it is leased to a third-party. Accordingly, the Company was not required to recognize an obligation on June 30, 2026.</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Centennial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previously disclosed and summarized in our annual report on Form 10-K, the Company considers the CBD/CNPS Action (as defined in prior disclosures) resolved. There have been no material developments during the three months ended June 30, 2026, that would change that conclusion.</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Proceedings Incidental to Business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other proceedings incidental to its business, including actions relating to employee claims, real estate disputes, contractor disputes and grievance hearings before labor regulatory agencies.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outcome of these other proceedings is not predictable. However, based on current circumstances, the Company believes that the ultimate resolution of these other proceedings will not have a material adverse effect on the Company’s financial position, results of operations or cash flows, either individually or in the aggregate.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12.    RETIREMENT PLANS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sponsors a defined benefit retirement plan, or Benefit Plan, that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(ERISA). In April 2017, the Company froze the Benefit Plan as it relates to future benefit accruals for participants. The Company does not expect to make contributions to the Benefit Plan in 2026.</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Benefit Plan’s current investment policy has an investment strategy in which the primary focus is to minimize the volatility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the funding ratio. This objective will result in a prescribed asset mix between "return seeking" assets (e.g., stocks) and a bond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portfolio (e.g., long duration bonds) according to a pre-determined customized investment strategy based on the Plan's Funded</w:t>
      </w:r>
    </w:p>
    <w:p>
      <w:pPr>
        <w:pStyle w:val="TextBody"/>
        <w:bidi w:val="0"/>
        <w:spacing w:lineRule="auto" w:line="288" w:before="0" w:after="0"/>
        <w:jc w:val="left"/>
        <w:rPr/>
      </w:pPr>
      <w:r>
        <w:rPr>
          <w:rFonts w:ascii="Times New Roman;serif" w:hAnsi="Times New Roman;serif"/>
          <w:b w:val="false"/>
          <w:color w:val="000000"/>
          <w:sz w:val="20"/>
        </w:rPr>
        <w:t xml:space="preserve">Status as the primary input. This path will be used as a reference point as to the mix of assets, which by design will deemphasize the return seeking portion as funded status improves. At both June 30, 2026 and December 31, 2025, the investment mixes were approximately at 99% debt and 1% </w:t>
      </w:r>
      <w:r>
        <w:rPr>
          <w:rFonts w:ascii="Times New Roman;serif" w:hAnsi="Times New Roman;serif"/>
          <w:b w:val="false"/>
          <w:color w:val="000000"/>
          <w:sz w:val="20"/>
          <w:shd w:fill="FFFFFF" w:val="clear"/>
        </w:rPr>
        <w:t>money market funds</w:t>
      </w:r>
      <w:r>
        <w:rPr>
          <w:rFonts w:ascii="Times New Roman;serif" w:hAnsi="Times New Roman;serif"/>
          <w:b w:val="false"/>
          <w:color w:val="000000"/>
          <w:sz w:val="20"/>
        </w:rPr>
        <w:t xml:space="preserve">. The weighted-average discount rate used in determining the periodic pension cost is 5.35% in 2026 and 5.35% in 2025. The expected long-term rate of return on plan assets is 5.00% for both fiscal 2026 and 2025. The long-term rate of return on Benefit Plan assets is based on the historical returns within the plan and expectations for future returns.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Total pension and retirement expense for the Benefit Plan was as follows:</w:t>
      </w:r>
    </w:p>
    <w:tbl>
      <w:tblPr>
        <w:tblW w:w="5022" w:type="dxa"/>
        <w:jc w:val="center"/>
        <w:tblInd w:w="0" w:type="dxa"/>
        <w:tblLayout w:type="fixed"/>
        <w:tblCellMar>
          <w:top w:w="28" w:type="dxa"/>
          <w:left w:w="28" w:type="dxa"/>
          <w:bottom w:w="28" w:type="dxa"/>
          <w:right w:w="28" w:type="dxa"/>
        </w:tblCellMar>
      </w:tblPr>
      <w:tblGrid>
        <w:gridCol w:w="955"/>
        <w:gridCol w:w="839"/>
        <w:gridCol w:w="845"/>
        <w:gridCol w:w="240"/>
        <w:gridCol w:w="616"/>
        <w:gridCol w:w="124"/>
        <w:gridCol w:w="124"/>
        <w:gridCol w:w="124"/>
        <w:gridCol w:w="124"/>
        <w:gridCol w:w="240"/>
        <w:gridCol w:w="616"/>
        <w:gridCol w:w="175"/>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(Cost)/earnings components:</w:t>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amortization and deferral</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periodic pension cost</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In April 2017, the Company froze the SERP plan as it relates to the accrual of additional benefits.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pension and retirement expense for the SERP was as follows: </w:t>
      </w:r>
    </w:p>
    <w:tbl>
      <w:tblPr>
        <w:tblW w:w="5023" w:type="dxa"/>
        <w:jc w:val="center"/>
        <w:tblInd w:w="0" w:type="dxa"/>
        <w:tblLayout w:type="fixed"/>
        <w:tblCellMar>
          <w:top w:w="28" w:type="dxa"/>
          <w:left w:w="28" w:type="dxa"/>
          <w:bottom w:w="28" w:type="dxa"/>
          <w:right w:w="28" w:type="dxa"/>
        </w:tblCellMar>
      </w:tblPr>
      <w:tblGrid>
        <w:gridCol w:w="955"/>
        <w:gridCol w:w="840"/>
        <w:gridCol w:w="845"/>
        <w:gridCol w:w="240"/>
        <w:gridCol w:w="616"/>
        <w:gridCol w:w="124"/>
        <w:gridCol w:w="124"/>
        <w:gridCol w:w="124"/>
        <w:gridCol w:w="124"/>
        <w:gridCol w:w="240"/>
        <w:gridCol w:w="616"/>
        <w:gridCol w:w="175"/>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components:</w:t>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amortization and other</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periodic pension cost</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13.    REPORTING SEGMENTS AND RELATED INFORMATION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Company currently operates six reporting segments: commercial/industrial real estate development, multifamily, resort/residential real estate development, mineral resources, farming, and ranch operations. Beginning in the second quarter of 2025, the Company commenced multifamily leasing operations as buildings within the Terra Vista development were completed and placed into service. The final building was delivered in October 2025. Multifamily is presented as a separate reportable segment due to the significance of its operations and the manner in which management evaluates its performance. Prior years' segment activity related to the Multifamily has been recast, where applicable.</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financial results of these segments are utilized by the chief operating decision maker ("CODM"), who is our Chief Executive Officer, for evaluating segment performance and allocating resources. For the commercial/industrial real estate development, resort/residential real estate development, mineral resources, farming, and ranch operations segments, the CODM evaluates performance primarily based on segment operating income (loss), which begins with operating income (loss) as determined under GAAP and includes equity in earnings (losses) of unconsolidated joint ventures attributable to each segment. Segment operating income (loss) excludes investment income, other income (loss), corporate expenses, and income taxes.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multifamily segment, the CODM evaluates performance primarily based on net operating income ("NOI"), which excludes depreciation and amortization. The CODM uses NOI because it reflects the operating performance of the multifamily leasing operations before non-cash depreciation and amortization associated with the Company's rental properties. NOI is used in evaluating segment performance, preparing budgets and forecasts, and allocating resources within the multifamily segment.</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CODM also reviews capital expenditures by segment, which represent cash expenditures for additions to long-lived assets, consistent with the information regularly provided to and reviewed by the CODM for purposes of evaluating resource allocation decisions.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Certain prior-year amounts have been reclassified to conform to the significant expense categories in which the CODM receives the information. Specifically, certain costs previously included within General and administrative expenses have been reclassified to Operating costs within the segment expense presentation, and depreciation expense, which was previously included within Other expense, is now presented separately. These reclassifications had no impact on total operating expenses, operating income, net income, or earnings per share as previously reported.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segment revenues and segment operating income (loss) for the periods ended:</w:t>
      </w:r>
    </w:p>
    <w:tbl>
      <w:tblPr>
        <w:tblW w:w="9740" w:type="dxa"/>
        <w:jc w:val="left"/>
        <w:tblInd w:w="0" w:type="dxa"/>
        <w:tblLayout w:type="fixed"/>
        <w:tblCellMar>
          <w:top w:w="28" w:type="dxa"/>
          <w:left w:w="28" w:type="dxa"/>
          <w:bottom w:w="28" w:type="dxa"/>
          <w:right w:w="28" w:type="dxa"/>
        </w:tblCellMar>
      </w:tblPr>
      <w:tblGrid>
        <w:gridCol w:w="1351"/>
        <w:gridCol w:w="1188"/>
        <w:gridCol w:w="1196"/>
        <w:gridCol w:w="109"/>
        <w:gridCol w:w="109"/>
        <w:gridCol w:w="109"/>
        <w:gridCol w:w="235"/>
        <w:gridCol w:w="686"/>
        <w:gridCol w:w="121"/>
        <w:gridCol w:w="121"/>
        <w:gridCol w:w="121"/>
        <w:gridCol w:w="121"/>
        <w:gridCol w:w="235"/>
        <w:gridCol w:w="770"/>
        <w:gridCol w:w="121"/>
        <w:gridCol w:w="109"/>
        <w:gridCol w:w="109"/>
        <w:gridCol w:w="109"/>
        <w:gridCol w:w="217"/>
        <w:gridCol w:w="634"/>
        <w:gridCol w:w="112"/>
        <w:gridCol w:w="112"/>
        <w:gridCol w:w="112"/>
        <w:gridCol w:w="112"/>
        <w:gridCol w:w="217"/>
        <w:gridCol w:w="711"/>
        <w:gridCol w:w="112"/>
        <w:gridCol w:w="109"/>
        <w:gridCol w:w="109"/>
        <w:gridCol w:w="109"/>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commercial/industrial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Mineral resources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Ranch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Segment 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commercial/industrial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resort/residential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Mineral resources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Ranch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 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6005" w:type="dxa"/>
            <w:gridSpan w:val="28"/>
            <w:tcBorders/>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Real Estate - Commercial/Industrial</w:t>
      </w:r>
    </w:p>
    <w:p>
      <w:pPr>
        <w:pStyle w:val="TextBody"/>
        <w:bidi w:val="0"/>
        <w:spacing w:lineRule="auto" w:line="288" w:before="8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revenue consists of land and building leases to tenants at the Company's commercial retail and industrial developments, base and percentage rents from the PEF power plant lease, communication tower rents, land sales, and payments from easement leases. </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revenues, expenses and operating income from this segment for the periods ended:</w:t>
      </w:r>
    </w:p>
    <w:tbl>
      <w:tblPr>
        <w:tblW w:w="10205" w:type="dxa"/>
        <w:jc w:val="left"/>
        <w:tblInd w:w="0" w:type="dxa"/>
        <w:tblLayout w:type="fixed"/>
        <w:tblCellMar>
          <w:top w:w="28" w:type="dxa"/>
          <w:left w:w="28" w:type="dxa"/>
          <w:bottom w:w="28" w:type="dxa"/>
          <w:right w:w="28" w:type="dxa"/>
        </w:tblCellMar>
      </w:tblPr>
      <w:tblGrid>
        <w:gridCol w:w="1794"/>
        <w:gridCol w:w="1454"/>
        <w:gridCol w:w="1440"/>
        <w:gridCol w:w="229"/>
        <w:gridCol w:w="668"/>
        <w:gridCol w:w="118"/>
        <w:gridCol w:w="118"/>
        <w:gridCol w:w="118"/>
        <w:gridCol w:w="118"/>
        <w:gridCol w:w="229"/>
        <w:gridCol w:w="668"/>
        <w:gridCol w:w="118"/>
        <w:gridCol w:w="109"/>
        <w:gridCol w:w="109"/>
        <w:gridCol w:w="109"/>
        <w:gridCol w:w="212"/>
        <w:gridCol w:w="727"/>
        <w:gridCol w:w="109"/>
        <w:gridCol w:w="109"/>
        <w:gridCol w:w="109"/>
        <w:gridCol w:w="109"/>
        <w:gridCol w:w="212"/>
        <w:gridCol w:w="621"/>
        <w:gridCol w:w="109"/>
        <w:gridCol w:w="109"/>
        <w:gridCol w:w="109"/>
        <w:gridCol w:w="109"/>
        <w:gridCol w:w="162"/>
      </w:tblGrid>
      <w:tr>
        <w:trPr/>
        <w:tc>
          <w:tcPr>
            <w:tcW w:w="179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4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Commercial/industrial revenues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joint ventures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Commercial/industrial revenues and equity in earnings of unconsolidated joint ventures</w:t>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of land</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Commercial/industrial expenses</w:t>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from commercial/industrial and unconsolidated joint ventures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left"/>
        <w:rPr/>
      </w:pPr>
      <w:r>
        <w:rPr/>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Multifamily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multifamily segment generates rents from the tenants living in the Terra Vista community. Construction of the Terra Vista development occurred in phases during 2024 and 2025, and leasing operations commenced as individual buildings were completed and placed into service. The final building was delivered in October 2025. The property is currently in the initial lease-up phase. For the three and six months ended June 30, 2026, the segment generated positive net operating income as lease-up progressed. Operating losses in the comparable 2025 periods primarily reflect start-up costs, as leasing operations had only recently commenced.</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net operating income (loss) from this segment for the periods ended:</w:t>
      </w:r>
    </w:p>
    <w:tbl>
      <w:tblPr>
        <w:tblW w:w="9415" w:type="dxa"/>
        <w:jc w:val="left"/>
        <w:tblInd w:w="0" w:type="dxa"/>
        <w:tblLayout w:type="fixed"/>
        <w:tblCellMar>
          <w:top w:w="28" w:type="dxa"/>
          <w:left w:w="28" w:type="dxa"/>
          <w:bottom w:w="28" w:type="dxa"/>
          <w:right w:w="28" w:type="dxa"/>
        </w:tblCellMar>
      </w:tblPr>
      <w:tblGrid>
        <w:gridCol w:w="1351"/>
        <w:gridCol w:w="1188"/>
        <w:gridCol w:w="1196"/>
        <w:gridCol w:w="298"/>
        <w:gridCol w:w="658"/>
        <w:gridCol w:w="154"/>
        <w:gridCol w:w="154"/>
        <w:gridCol w:w="154"/>
        <w:gridCol w:w="154"/>
        <w:gridCol w:w="298"/>
        <w:gridCol w:w="510"/>
        <w:gridCol w:w="154"/>
        <w:gridCol w:w="109"/>
        <w:gridCol w:w="109"/>
        <w:gridCol w:w="109"/>
        <w:gridCol w:w="254"/>
        <w:gridCol w:w="741"/>
        <w:gridCol w:w="131"/>
        <w:gridCol w:w="131"/>
        <w:gridCol w:w="131"/>
        <w:gridCol w:w="131"/>
        <w:gridCol w:w="254"/>
        <w:gridCol w:w="434"/>
        <w:gridCol w:w="131"/>
        <w:gridCol w:w="109"/>
        <w:gridCol w:w="109"/>
        <w:gridCol w:w="109"/>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 revenues</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income (loss)</w:t>
            </w:r>
          </w:p>
        </w:tc>
        <w:tc>
          <w:tcPr>
            <w:tcW w:w="9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Real Estate - Resort/Residential Development</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Resort/Residential real estate development segment is actively involved in pursuing land entitlement and development processes both internally and through joint ventures. The segment incurs costs and expenses related to land management activities on land held for future development, but currently generates no revenue. </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revenues, expenses and operating losses from this segment for the periods ended:</w:t>
      </w:r>
    </w:p>
    <w:tbl>
      <w:tblPr>
        <w:tblW w:w="8974" w:type="dxa"/>
        <w:jc w:val="left"/>
        <w:tblInd w:w="0" w:type="dxa"/>
        <w:tblLayout w:type="fixed"/>
        <w:tblCellMar>
          <w:top w:w="28" w:type="dxa"/>
          <w:left w:w="28" w:type="dxa"/>
          <w:bottom w:w="28" w:type="dxa"/>
          <w:right w:w="28" w:type="dxa"/>
        </w:tblCellMar>
      </w:tblPr>
      <w:tblGrid>
        <w:gridCol w:w="1350"/>
        <w:gridCol w:w="1189"/>
        <w:gridCol w:w="1195"/>
        <w:gridCol w:w="261"/>
        <w:gridCol w:w="669"/>
        <w:gridCol w:w="134"/>
        <w:gridCol w:w="134"/>
        <w:gridCol w:w="134"/>
        <w:gridCol w:w="134"/>
        <w:gridCol w:w="261"/>
        <w:gridCol w:w="669"/>
        <w:gridCol w:w="134"/>
        <w:gridCol w:w="109"/>
        <w:gridCol w:w="109"/>
        <w:gridCol w:w="109"/>
        <w:gridCol w:w="240"/>
        <w:gridCol w:w="616"/>
        <w:gridCol w:w="124"/>
        <w:gridCol w:w="124"/>
        <w:gridCol w:w="124"/>
        <w:gridCol w:w="124"/>
        <w:gridCol w:w="240"/>
        <w:gridCol w:w="616"/>
        <w:gridCol w:w="175"/>
      </w:tblGrid>
      <w:tr>
        <w:trPr/>
        <w:tc>
          <w:tcPr>
            <w:tcW w:w="135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Resort/residential</w:t>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resort/residential expenses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from resort/residential</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Mineral Resources</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The Mineral Resources segment revenues include water sales and oil and mineral royalties from exploration and development companies that extract or mine natural resources from the Company's land. The following table summarizes revenues, expenses and operating income from this segment for the periods ended:</w:t>
      </w:r>
    </w:p>
    <w:tbl>
      <w:tblPr>
        <w:tblW w:w="9411" w:type="dxa"/>
        <w:jc w:val="left"/>
        <w:tblInd w:w="0" w:type="dxa"/>
        <w:tblLayout w:type="fixed"/>
        <w:tblCellMar>
          <w:top w:w="28" w:type="dxa"/>
          <w:left w:w="28" w:type="dxa"/>
          <w:bottom w:w="28" w:type="dxa"/>
          <w:right w:w="28" w:type="dxa"/>
        </w:tblCellMar>
      </w:tblPr>
      <w:tblGrid>
        <w:gridCol w:w="1351"/>
        <w:gridCol w:w="1187"/>
        <w:gridCol w:w="1196"/>
        <w:gridCol w:w="243"/>
        <w:gridCol w:w="710"/>
        <w:gridCol w:w="125"/>
        <w:gridCol w:w="125"/>
        <w:gridCol w:w="125"/>
        <w:gridCol w:w="125"/>
        <w:gridCol w:w="243"/>
        <w:gridCol w:w="710"/>
        <w:gridCol w:w="125"/>
        <w:gridCol w:w="109"/>
        <w:gridCol w:w="109"/>
        <w:gridCol w:w="109"/>
        <w:gridCol w:w="224"/>
        <w:gridCol w:w="655"/>
        <w:gridCol w:w="116"/>
        <w:gridCol w:w="116"/>
        <w:gridCol w:w="116"/>
        <w:gridCol w:w="116"/>
        <w:gridCol w:w="224"/>
        <w:gridCol w:w="655"/>
        <w:gridCol w:w="116"/>
        <w:gridCol w:w="109"/>
        <w:gridCol w:w="109"/>
        <w:gridCol w:w="109"/>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Mineral resources revenues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of water</w:t>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Mineral resources expenses</w:t>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from mineral resources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Farming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Farming segment revenues include the sale of almonds, pistachios, wine grapes, and hay. The following table summarizes revenues, expenses and operating losses from this segment for the periods ended:</w:t>
      </w:r>
    </w:p>
    <w:tbl>
      <w:tblPr>
        <w:tblW w:w="10205" w:type="dxa"/>
        <w:jc w:val="left"/>
        <w:tblInd w:w="0" w:type="dxa"/>
        <w:tblLayout w:type="fixed"/>
        <w:tblCellMar>
          <w:top w:w="28" w:type="dxa"/>
          <w:left w:w="28" w:type="dxa"/>
          <w:bottom w:w="28" w:type="dxa"/>
          <w:right w:w="28" w:type="dxa"/>
        </w:tblCellMar>
      </w:tblPr>
      <w:tblGrid>
        <w:gridCol w:w="1713"/>
        <w:gridCol w:w="1490"/>
        <w:gridCol w:w="1472"/>
        <w:gridCol w:w="250"/>
        <w:gridCol w:w="627"/>
        <w:gridCol w:w="128"/>
        <w:gridCol w:w="128"/>
        <w:gridCol w:w="128"/>
        <w:gridCol w:w="128"/>
        <w:gridCol w:w="250"/>
        <w:gridCol w:w="627"/>
        <w:gridCol w:w="128"/>
        <w:gridCol w:w="109"/>
        <w:gridCol w:w="109"/>
        <w:gridCol w:w="109"/>
        <w:gridCol w:w="211"/>
        <w:gridCol w:w="677"/>
        <w:gridCol w:w="109"/>
        <w:gridCol w:w="109"/>
        <w:gridCol w:w="109"/>
        <w:gridCol w:w="109"/>
        <w:gridCol w:w="211"/>
        <w:gridCol w:w="677"/>
        <w:gridCol w:w="109"/>
        <w:gridCol w:w="109"/>
        <w:gridCol w:w="109"/>
        <w:gridCol w:w="109"/>
        <w:gridCol w:w="161"/>
      </w:tblGrid>
      <w:tr>
        <w:trPr/>
        <w:tc>
          <w:tcPr>
            <w:tcW w:w="1713"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Farming revenues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farming expenses</w:t>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from farming before fixed water obligations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water obligations</w:t>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from farming</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Ranch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Ranch Operations segment consists of game management revenues and ancillary land uses, such as grazing leases and on-location filming. The following table summarizes revenues, expenses and operating income (loss) from this segment for the periods ended:</w:t>
      </w:r>
    </w:p>
    <w:tbl>
      <w:tblPr>
        <w:tblW w:w="9546" w:type="dxa"/>
        <w:jc w:val="left"/>
        <w:tblInd w:w="0" w:type="dxa"/>
        <w:tblLayout w:type="fixed"/>
        <w:tblCellMar>
          <w:top w:w="28" w:type="dxa"/>
          <w:left w:w="28" w:type="dxa"/>
          <w:bottom w:w="28" w:type="dxa"/>
          <w:right w:w="28" w:type="dxa"/>
        </w:tblCellMar>
      </w:tblPr>
      <w:tblGrid>
        <w:gridCol w:w="1399"/>
        <w:gridCol w:w="1231"/>
        <w:gridCol w:w="1239"/>
        <w:gridCol w:w="243"/>
        <w:gridCol w:w="710"/>
        <w:gridCol w:w="125"/>
        <w:gridCol w:w="125"/>
        <w:gridCol w:w="125"/>
        <w:gridCol w:w="125"/>
        <w:gridCol w:w="243"/>
        <w:gridCol w:w="710"/>
        <w:gridCol w:w="125"/>
        <w:gridCol w:w="109"/>
        <w:gridCol w:w="109"/>
        <w:gridCol w:w="109"/>
        <w:gridCol w:w="224"/>
        <w:gridCol w:w="655"/>
        <w:gridCol w:w="116"/>
        <w:gridCol w:w="116"/>
        <w:gridCol w:w="116"/>
        <w:gridCol w:w="116"/>
        <w:gridCol w:w="224"/>
        <w:gridCol w:w="655"/>
        <w:gridCol w:w="116"/>
        <w:gridCol w:w="109"/>
        <w:gridCol w:w="109"/>
        <w:gridCol w:w="109"/>
        <w:gridCol w:w="154"/>
      </w:tblGrid>
      <w:tr>
        <w:trPr/>
        <w:tc>
          <w:tcPr>
            <w:tcW w:w="139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Ranch operations revenues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Ranch operations expenses</w:t>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from ranch operations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5677" w:type="dxa"/>
            <w:gridSpan w:val="25"/>
            <w:tcBorders/>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Information pertaining to identifiable assets of the Company’s reporting segments is as follows for the periods ended:</w:t>
      </w:r>
    </w:p>
    <w:tbl>
      <w:tblPr>
        <w:tblW w:w="6237" w:type="dxa"/>
        <w:jc w:val="left"/>
        <w:tblInd w:w="0" w:type="dxa"/>
        <w:tblLayout w:type="fixed"/>
        <w:tblCellMar>
          <w:top w:w="28" w:type="dxa"/>
          <w:left w:w="28" w:type="dxa"/>
          <w:bottom w:w="28" w:type="dxa"/>
          <w:right w:w="28" w:type="dxa"/>
        </w:tblCellMar>
      </w:tblPr>
      <w:tblGrid>
        <w:gridCol w:w="1063"/>
        <w:gridCol w:w="936"/>
        <w:gridCol w:w="941"/>
        <w:gridCol w:w="229"/>
        <w:gridCol w:w="898"/>
        <w:gridCol w:w="118"/>
        <w:gridCol w:w="109"/>
        <w:gridCol w:w="109"/>
        <w:gridCol w:w="109"/>
        <w:gridCol w:w="305"/>
        <w:gridCol w:w="1197"/>
        <w:gridCol w:w="223"/>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Identifiable Assets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commercial/industrial</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resort/residential</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341,433 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Mineral resources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Farming</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58,545 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Ranch operations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639,538 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630,469 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Identifiable assets by segment include both assets directly identified with those operations and an allocable share of jointly used assets. Corporate assets consist primarily of cash and cash equivalents, marketable securities, deferred income taxes, and land and buildings. Land is valued at cost for acquisitions since 1936. Land acquired in 1936, upon organization of the Company, is stated on the basis carried by the Company’s predecessor.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Information pertaining to depreciation and amortization of the Company’s reporting segments is as follows for the periods ended:</w:t>
      </w:r>
    </w:p>
    <w:tbl>
      <w:tblPr>
        <w:tblW w:w="8617" w:type="dxa"/>
        <w:jc w:val="left"/>
        <w:tblInd w:w="0" w:type="dxa"/>
        <w:tblLayout w:type="fixed"/>
        <w:tblCellMar>
          <w:top w:w="28" w:type="dxa"/>
          <w:left w:w="28" w:type="dxa"/>
          <w:bottom w:w="28" w:type="dxa"/>
          <w:right w:w="28" w:type="dxa"/>
        </w:tblCellMar>
      </w:tblPr>
      <w:tblGrid>
        <w:gridCol w:w="1065"/>
        <w:gridCol w:w="935"/>
        <w:gridCol w:w="940"/>
        <w:gridCol w:w="243"/>
        <w:gridCol w:w="710"/>
        <w:gridCol w:w="125"/>
        <w:gridCol w:w="125"/>
        <w:gridCol w:w="125"/>
        <w:gridCol w:w="125"/>
        <w:gridCol w:w="243"/>
        <w:gridCol w:w="710"/>
        <w:gridCol w:w="125"/>
        <w:gridCol w:w="109"/>
        <w:gridCol w:w="109"/>
        <w:gridCol w:w="109"/>
        <w:gridCol w:w="224"/>
        <w:gridCol w:w="655"/>
        <w:gridCol w:w="116"/>
        <w:gridCol w:w="116"/>
        <w:gridCol w:w="116"/>
        <w:gridCol w:w="116"/>
        <w:gridCol w:w="224"/>
        <w:gridCol w:w="655"/>
        <w:gridCol w:w="116"/>
        <w:gridCol w:w="109"/>
        <w:gridCol w:w="109"/>
        <w:gridCol w:w="109"/>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Depreciation and Amortization</w:t>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commercial/industrial</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resort/residential</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Mineral resources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Farming</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Ranch operations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Information pertaining to capital expenditures of the Company’s reporting segments is as follows for the periods ended:</w:t>
      </w:r>
    </w:p>
    <w:tbl>
      <w:tblPr>
        <w:tblW w:w="8461" w:type="dxa"/>
        <w:jc w:val="left"/>
        <w:tblInd w:w="0" w:type="dxa"/>
        <w:tblLayout w:type="fixed"/>
        <w:tblCellMar>
          <w:top w:w="28" w:type="dxa"/>
          <w:left w:w="28" w:type="dxa"/>
          <w:bottom w:w="28" w:type="dxa"/>
          <w:right w:w="28" w:type="dxa"/>
        </w:tblCellMar>
      </w:tblPr>
      <w:tblGrid>
        <w:gridCol w:w="1065"/>
        <w:gridCol w:w="935"/>
        <w:gridCol w:w="940"/>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Capital Expenditures</w:t>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commercial/industrial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resort/residential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Mineral resources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Ranch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14.    INVESTMENT IN UNCONSOLIDATED AND CONSOLIDATED JOINT VENTURES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June 30, 2026 was $39,267,000. The equity in the income of unconsolidated joint ventures was $4,390,000 for the six months ended June 30, 2026. The unconsolidated joint ventures have not been consolidated as of June 30, 2026, because the Company does not control the investments. The Company’s current joint ventures are as follows: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Petro Travel Plaza Holdings, LLC – TA/Petro is an unconsolidated joint venture with TravelCenters of America Inc. for the development and management of travel plazas and convenience stores. The Company has 50% voting rights and shares 60% of profit and losses in this joint venture. It houses multiple commercial eating establishments, as well as diesel and gasoline operations in TRCC. The Company does not control the investment due to it having only 50% voting rights, and because the partner in the joint venture is the managing partner and performs all of the day-to-day operations and has significant decision-making authority regarding key business components, such as fuel inventory and pricing at the facility. The Company's investment in this joint venture was $22,510,000 as of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Majestic Realty Co. – Majestic Realty Co., or Majestic, is a privately-held developer and owner of master planned business parks across the United States. The Company partnered with Majestic to form five active 50/50 joint ventures to acquire, develop, manage, and operate industrial real estate at TRCC. The partners have equal voting rights and equally share in the profit and loss of each joint venture. All outstanding debt attributed to our joint ventures with Majestic have met their respective debt covenants, and hence were not subject to an effective guarantee at June 30, 2026. For those investments in a deficit position,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 </w:t>
      </w:r>
    </w:p>
    <w:p>
      <w:pPr>
        <w:pStyle w:val="TextBody"/>
        <w:bidi w:val="0"/>
        <w:spacing w:lineRule="auto" w:line="288" w:before="100" w:after="120"/>
        <w:ind w:left="0" w:right="0" w:hanging="360"/>
        <w:jc w:val="left"/>
        <w:rPr/>
      </w:pPr>
      <w:r>
        <w:rPr>
          <w:color w:val="000000"/>
        </w:rPr>
        <w:t>•</w:t>
      </w:r>
      <w:r>
        <w:rPr>
          <w:rFonts w:ascii="Times New Roman;serif" w:hAnsi="Times New Roman;serif"/>
          <w:b w:val="false"/>
          <w:color w:val="000000"/>
          <w:sz w:val="20"/>
        </w:rPr>
        <w:t>On March 29, 2022, TRC-MRC 5, LLC was formed to pursue the development, construction, lease-up, and management of an approximately 446,400 square foot industrial building located within TRCC-East. The construction of the building was completed in the fourth quarter of 2023, and the joint venture has leased 100% of the rentable space. The joint venture refinanced the construction loan in February 2024 with a promissory note. The note matures on February 3, 2035, and had an outstanding balance of $51,630,000 as of June 30, 2026. Since its inception, the Company has received excess distributions resulting in a deficit balance in its investment of $2,006,000.</w:t>
      </w:r>
    </w:p>
    <w:p>
      <w:pPr>
        <w:pStyle w:val="TextBody"/>
        <w:bidi w:val="0"/>
        <w:spacing w:lineRule="auto" w:line="288" w:before="100" w:after="120"/>
        <w:ind w:left="0" w:right="0" w:hanging="360"/>
        <w:jc w:val="left"/>
        <w:rPr/>
      </w:pPr>
      <w:r>
        <w:rPr>
          <w:color w:val="000000"/>
        </w:rPr>
        <w:t>•</w:t>
      </w:r>
      <w:r>
        <w:rPr>
          <w:rFonts w:ascii="Times New Roman;serif" w:hAnsi="Times New Roman;serif"/>
          <w:b w:val="false"/>
          <w:color w:val="000000"/>
          <w:sz w:val="20"/>
        </w:rPr>
        <w:t>On March 25, 2021, TRC-MRC 4, LLC was formed to pursue the development, construction, lease-up, and management of a 629,274 square foot industrial building located within TRCC-East. The construction of the building was completed in the fourth quarter of 2022, and the joint venture has leased 100% of the rentable space. The joint venture refinanced its construction loan in March 2023 with a promissory note. The note matures on March 1, 2033, and had an outstanding balance of $59,468,000 as of June 30, 2026. Since its inception, the Company has received excess distributions resulting in a deficit balance in its investment of $6,946,000.</w:t>
      </w:r>
    </w:p>
    <w:p>
      <w:pPr>
        <w:pStyle w:val="TextBody"/>
        <w:bidi w:val="0"/>
        <w:spacing w:lineRule="auto" w:line="288" w:before="100" w:after="120"/>
        <w:ind w:left="0" w:right="0" w:hanging="360"/>
        <w:jc w:val="left"/>
        <w:rPr/>
      </w:pPr>
      <w:r>
        <w:rPr>
          <w:color w:val="000000"/>
        </w:rPr>
        <w:t>•</w:t>
      </w:r>
      <w:r>
        <w:rPr>
          <w:rFonts w:ascii="Times New Roman;serif" w:hAnsi="Times New Roman;serif"/>
          <w:b w:val="false"/>
          <w:color w:val="000000"/>
          <w:sz w:val="20"/>
        </w:rPr>
        <w:t>In November 2018, TRC-MRC 3, LLC was formed to pursue the development, construction, leasing, and management of a 579,040 square foot industrial building located within TRCC-East. TRC-MRC 3, LLC qualified as a VIE from inception, but the Company is not the primary beneficiary therefore it does not consolidate TRC-MRC 3, LLC in its financial statements. The construction of the building was completed in 2019, and the joint venture has leased 100% of the rentable space to two tenants. In March 2019, the joint venture entered into a promissory note with a financial institution to finance the construction of the building. The note matures on May 1, 2030 and had an outstanding principal balance of $31,288,000 as of June 30, 2026. The Company's investment in this joint venture was $319,000 as of June 30, 2026.</w:t>
      </w:r>
    </w:p>
    <w:p>
      <w:pPr>
        <w:pStyle w:val="TextBody"/>
        <w:bidi w:val="0"/>
        <w:spacing w:lineRule="auto" w:line="288" w:before="100" w:after="120"/>
        <w:ind w:left="0" w:right="0" w:hanging="360"/>
        <w:jc w:val="left"/>
        <w:rPr/>
      </w:pPr>
      <w:r>
        <w:rPr>
          <w:color w:val="000000"/>
        </w:rPr>
        <w:t>•</w:t>
      </w:r>
      <w:r>
        <w:rPr>
          <w:rFonts w:ascii="Times New Roman;serif" w:hAnsi="Times New Roman;serif"/>
          <w:b w:val="false"/>
          <w:color w:val="000000"/>
          <w:sz w:val="20"/>
        </w:rPr>
        <w:t>In August 2016, the Company partnered with Majestic to form TRC-MRC 2, LLC to acquire, lease, and maintain a fully occupied warehouse at TRCC-West. The partnership acquired the 651,909 square foot building for $24,773,000, and was largely financed through a promissory note. The promissory note was refinanced on June 1, 2018 with a $25,240,000 promissory note. The note matures on July 3, 2028 and had an outstanding principal balance of $20,114,000 as of June 30, 2026. The building was 100% leased as of June 30, 2026. During 2026, the Company received excess distributions resulting in a deficit balance in its investment of $308,000.</w:t>
      </w:r>
    </w:p>
    <w:p>
      <w:pPr>
        <w:pStyle w:val="TextBody"/>
        <w:bidi w:val="0"/>
        <w:spacing w:lineRule="auto" w:line="288" w:before="100" w:after="120"/>
        <w:ind w:left="0" w:right="0" w:hanging="360"/>
        <w:jc w:val="left"/>
        <w:rPr/>
      </w:pPr>
      <w:r>
        <w:rPr>
          <w:color w:val="000000"/>
        </w:rPr>
        <w:t>•</w:t>
      </w:r>
      <w:r>
        <w:rPr>
          <w:rFonts w:ascii="Times New Roman;serif" w:hAnsi="Times New Roman;serif"/>
          <w:b w:val="false"/>
          <w:color w:val="000000"/>
          <w:sz w:val="20"/>
        </w:rPr>
        <w:t>In September 2016, TRC-MRC 1, LLC was formed to develop and operate an approximately 480,480 square foot industrial building at TRCC-East. The joint venture completed construction in 2017. The joint venture refinanced its construction loan in December 2018 with a mortgage loan. The original balance of the mortgage loan was $25,030,000, of which $20,397,000 was outstanding as of June 30, 2026. Since inception of the joint venture, the Company has received excess distributions resulting in a deficit balance in its investment of $1,176,000.</w:t>
      </w:r>
    </w:p>
    <w:p>
      <w:pPr>
        <w:pStyle w:val="TextBody"/>
        <w:bidi w:val="0"/>
        <w:spacing w:lineRule="auto" w:line="288" w:before="100" w:after="120"/>
        <w:ind w:left="0" w:right="0" w:hanging="360"/>
        <w:jc w:val="left"/>
        <w:rPr/>
      </w:pPr>
      <w:r>
        <w:rPr>
          <w:color w:val="000000"/>
        </w:rPr>
        <w:t>•</w:t>
      </w:r>
      <w:r>
        <w:rPr>
          <w:rFonts w:ascii="Times New Roman;serif" w:hAnsi="Times New Roman;serif"/>
          <w:b w:val="false"/>
          <w:color w:val="000000"/>
          <w:sz w:val="20"/>
        </w:rPr>
        <w:t xml:space="preserve">TRC-DP1, LLC - This joint venture was formed on October 4, 2024 with Dedeaux Properties to develop, manage, and operate a 510,385 square foot industrial building at TRCC-East on land to be contributed by the Company. On April 28, 2026, the Company contributed approximately 24.57 acres of land to TRC-DP1, LLC at a fair value of $9,632,423, in addition to $220,000 of other capitalized development costs. The Company recognized revenues of $6,854,000 and deferred profit of $2,999,000 after applying the five-step revenue recognition model in accordance with ASC Topic 606 — Revenue From Contracts With Customers and ASC Topic 323, Investments — Equity Method and Joint Ventures.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Substantially all project assets and liabilities are held by TRC-DP 1 Owner, LLC, a wholly owned subsidiary of TRC-DP1, LLC. On April 28, 2026, TRC-DP 1 Owner, LLC entered into a construction loan agreement with Fifth Third Bank, N.A. providing for a loan of up to $38,800,000 to fund development of the project. The loan bears interest at Term SOFR plus 2.50% and matures on April 28, 2029, subject to two one-year extension options. The note had no outstanding balance as of June 30, 2026. The Company, through Tejon Ranchcorp, has jointly provided customary completion and payment guarantees with Dedeaux Properties, LLC. The project is expected to be available for occupancy in the first quarter of 2027. The Company's investment in this joint venture was $7,703,000 as of June 30, 2026. The Company holds a 50% voting interest in TRC-DP1, LLC and participates in its governance through an executive committee with equal representation from each member. Substantially all significant operating and financial decisions require the approval of both members. Dedeaux Properties serves as the administrative member and is responsible for the day-to-day management and operations of TRC-DP1, LLC. The Company is entitled to 60% of TRC-DP1, LLC’s profits and losses.</w:t>
      </w:r>
    </w:p>
    <w:p>
      <w:pPr>
        <w:pStyle w:val="TextBody"/>
        <w:bidi w:val="0"/>
        <w:spacing w:lineRule="auto" w:line="288" w:before="100" w:after="120"/>
        <w:ind w:left="0" w:right="0" w:hanging="360"/>
        <w:jc w:val="left"/>
        <w:rPr/>
      </w:pPr>
      <w:r>
        <w:rPr>
          <w:color w:val="000000"/>
        </w:rPr>
        <w:t>•</w:t>
      </w:r>
      <w:r>
        <w:rPr>
          <w:rFonts w:ascii="Times New Roman;serif" w:hAnsi="Times New Roman;serif"/>
          <w:b w:val="false"/>
          <w:color w:val="000000"/>
          <w:sz w:val="20"/>
        </w:rPr>
        <w:t>TRCC/Rock Outlet Center LLC – This joint venture was formed in 2013 with Rockefeller Group Development Corporation, or Rockefeller to develop, own, and manage a net leasable 326,000 square foot outlet center on land at TRCC-East. At June 30, 2026, the Company’s equity investment balance in this joint venture was $8,735,000.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during the development period and ongoing operations, including the setting and monitoring of the budget, leasing, marketing, financing, and selection of the contractor for any construction, are jointly made by both members of the joint venture. The Company concluded that both members have significant participating rights that are sufficient to overcome the presumption of the Company controlling the joint venture through it being named the managing member. Therefore, the investment in TRCC/Rock Outlet Center LLC is being accounted for under the equity method. On January 22, 2026, the TRCC/Rock Outlet Center LLC joint venture extended the maturity date of its term note with a financial institution from December 31, 2025 to December 30, 2028. As of June 30, 2026, the outstanding balance of the term note was $19,899,000. The Company and Rockefeller guarantee the performance of the debt.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Centennial Founders, LLC – CFL is a joint venture with TRI Pointe Homes to pursue the entitlement and development of land that the Company owns in Los Angeles County. As of June 30, 2026, the Company owned 93.95% of CFL.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Company’s investment balance in each of its unconsolidated joint ventures differs from its capital accounts in the respective joint ventures. The variance represents the difference between the cost basis of assets contributed by the Company and the agreed upon fair value of those assets.</w:t>
      </w:r>
    </w:p>
    <w:p>
      <w:pPr>
        <w:pStyle w:val="TextBody"/>
        <w:bidi w:val="0"/>
        <w:spacing w:before="100" w:after="283"/>
        <w:jc w:val="center"/>
        <w:rPr/>
      </w:pPr>
      <w:r>
        <w:rPr/>
      </w:r>
    </w:p>
    <w:tbl>
      <w:tblPr>
        <w:tblW w:w="10205" w:type="dxa"/>
        <w:jc w:val="left"/>
        <w:tblInd w:w="0" w:type="dxa"/>
        <w:tblLayout w:type="fixed"/>
        <w:tblCellMar>
          <w:top w:w="28" w:type="dxa"/>
          <w:left w:w="28" w:type="dxa"/>
          <w:bottom w:w="28" w:type="dxa"/>
          <w:right w:w="28" w:type="dxa"/>
        </w:tblCellMar>
      </w:tblPr>
      <w:tblGrid>
        <w:gridCol w:w="691"/>
        <w:gridCol w:w="559"/>
        <w:gridCol w:w="562"/>
        <w:gridCol w:w="235"/>
        <w:gridCol w:w="803"/>
        <w:gridCol w:w="121"/>
        <w:gridCol w:w="121"/>
        <w:gridCol w:w="121"/>
        <w:gridCol w:w="121"/>
        <w:gridCol w:w="235"/>
        <w:gridCol w:w="803"/>
        <w:gridCol w:w="121"/>
        <w:gridCol w:w="121"/>
        <w:gridCol w:w="121"/>
        <w:gridCol w:w="121"/>
        <w:gridCol w:w="235"/>
        <w:gridCol w:w="686"/>
        <w:gridCol w:w="121"/>
        <w:gridCol w:w="121"/>
        <w:gridCol w:w="121"/>
        <w:gridCol w:w="121"/>
        <w:gridCol w:w="235"/>
        <w:gridCol w:w="686"/>
        <w:gridCol w:w="121"/>
        <w:gridCol w:w="121"/>
        <w:gridCol w:w="121"/>
        <w:gridCol w:w="121"/>
        <w:gridCol w:w="237"/>
        <w:gridCol w:w="693"/>
        <w:gridCol w:w="122"/>
        <w:gridCol w:w="122"/>
        <w:gridCol w:w="122"/>
        <w:gridCol w:w="122"/>
        <w:gridCol w:w="237"/>
        <w:gridCol w:w="693"/>
        <w:gridCol w:w="191"/>
      </w:tblGrid>
      <w:tr>
        <w:trPr/>
        <w:tc>
          <w:tcPr>
            <w:tcW w:w="69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Joint Venture</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TRC</w:t>
            </w:r>
          </w:p>
        </w:tc>
      </w:tr>
      <w:tr>
        <w:trPr/>
        <w:tc>
          <w:tcPr>
            <w:tcW w:w="1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Earnings (Loss)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Equity in Earnings (Loss)</w:t>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Petro Travel Plaza Holdings, LLC</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TRCC/Rock Outlet Center LLC</w:t>
            </w:r>
            <w:r>
              <w:rPr>
                <w:rFonts w:ascii="Times New Roman;serif" w:hAnsi="Times New Roman;serif"/>
                <w:b w:val="false"/>
                <w:color w:val="000000"/>
                <w:sz w:val="13"/>
              </w:rPr>
              <w:t>1</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TRC-MRC 1, LLC</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TRC-MRC 2, LLC</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TRC-MRC 3, LLC</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TRC-MRC 4, LLC</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TRC-MRC 5, LLC</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Centennial Founders, LLC</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Revenues for TRCC/Rock Outlet Center LLC are presented net of non-cash tenant allowance amortization of $0.2 million and $0.3 million for the three months ended June 30, 2026 and June 30, 2025, respectively.</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statements of operations for the six months ended June 30, 2026 and 2025 and condensed balance sheet information of the Company’s unconsolidated joint ventures as of June 30, 2026 and December 31, 2025 are as follows: </w:t>
      </w:r>
    </w:p>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94"/>
        <w:gridCol w:w="562"/>
        <w:gridCol w:w="565"/>
        <w:gridCol w:w="234"/>
        <w:gridCol w:w="803"/>
        <w:gridCol w:w="121"/>
        <w:gridCol w:w="121"/>
        <w:gridCol w:w="121"/>
        <w:gridCol w:w="121"/>
        <w:gridCol w:w="234"/>
        <w:gridCol w:w="803"/>
        <w:gridCol w:w="121"/>
        <w:gridCol w:w="121"/>
        <w:gridCol w:w="121"/>
        <w:gridCol w:w="121"/>
        <w:gridCol w:w="234"/>
        <w:gridCol w:w="686"/>
        <w:gridCol w:w="121"/>
        <w:gridCol w:w="121"/>
        <w:gridCol w:w="121"/>
        <w:gridCol w:w="121"/>
        <w:gridCol w:w="234"/>
        <w:gridCol w:w="686"/>
        <w:gridCol w:w="121"/>
        <w:gridCol w:w="121"/>
        <w:gridCol w:w="121"/>
        <w:gridCol w:w="121"/>
        <w:gridCol w:w="237"/>
        <w:gridCol w:w="692"/>
        <w:gridCol w:w="122"/>
        <w:gridCol w:w="122"/>
        <w:gridCol w:w="122"/>
        <w:gridCol w:w="122"/>
        <w:gridCol w:w="237"/>
        <w:gridCol w:w="692"/>
        <w:gridCol w:w="188"/>
      </w:tblGrid>
      <w:tr>
        <w:trPr/>
        <w:tc>
          <w:tcPr>
            <w:tcW w:w="69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Joint Venture</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TRC</w:t>
            </w:r>
          </w:p>
        </w:tc>
      </w:tr>
      <w:tr>
        <w:trPr/>
        <w:tc>
          <w:tcPr>
            <w:tcW w:w="1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Earnings (Loss)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Equity in Earnings (Loss)</w:t>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Petro Travel Plaza Holdings, LLC</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TRCC/Rock Outlet Center LLC</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TRC-MRC 1, LLC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TRC-MRC 2, LLC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TRC-MRC 3, LLC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TRC-MRC 4, LLC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TRC-MRC 5, LLC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95,575 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87,771 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Centennial Founders, LLC</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Revenues for TRCC/Rock Outlet Center LLC are presented net of non-cash tenant allowance amortization of $0.3 million and $0.3 million for the six months ended June 30, 2026 and June 30, 2025, respectively.</w:t>
            </w:r>
          </w:p>
        </w:tc>
      </w:tr>
    </w:tbl>
    <w:tbl>
      <w:tblPr>
        <w:tblW w:w="10291" w:type="dxa"/>
        <w:jc w:val="center"/>
        <w:tblInd w:w="0" w:type="dxa"/>
        <w:tblLayout w:type="fixed"/>
        <w:tblCellMar>
          <w:top w:w="28" w:type="dxa"/>
          <w:left w:w="28" w:type="dxa"/>
          <w:bottom w:w="28" w:type="dxa"/>
          <w:right w:w="28" w:type="dxa"/>
        </w:tblCellMar>
      </w:tblPr>
      <w:tblGrid>
        <w:gridCol w:w="394"/>
        <w:gridCol w:w="268"/>
        <w:gridCol w:w="269"/>
        <w:gridCol w:w="211"/>
        <w:gridCol w:w="826"/>
        <w:gridCol w:w="109"/>
        <w:gridCol w:w="211"/>
        <w:gridCol w:w="841"/>
        <w:gridCol w:w="109"/>
        <w:gridCol w:w="211"/>
        <w:gridCol w:w="826"/>
        <w:gridCol w:w="109"/>
        <w:gridCol w:w="211"/>
        <w:gridCol w:w="721"/>
        <w:gridCol w:w="109"/>
        <w:gridCol w:w="109"/>
        <w:gridCol w:w="109"/>
        <w:gridCol w:w="109"/>
        <w:gridCol w:w="211"/>
        <w:gridCol w:w="826"/>
        <w:gridCol w:w="109"/>
        <w:gridCol w:w="211"/>
        <w:gridCol w:w="841"/>
        <w:gridCol w:w="109"/>
        <w:gridCol w:w="211"/>
        <w:gridCol w:w="826"/>
        <w:gridCol w:w="109"/>
        <w:gridCol w:w="211"/>
        <w:gridCol w:w="721"/>
        <w:gridCol w:w="154"/>
      </w:tblGrid>
      <w:tr>
        <w:trPr/>
        <w:tc>
          <w:tcPr>
            <w:tcW w:w="39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Joint Venture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Joint Venture</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TRC</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Debt</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Equity (Deficit)</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Debt</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Equity (Deficit)</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Equity</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Petro Travel Plaza Holdings, LLC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TRCC/Rock Outlet Center LLC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TRC-MRC 1, LLC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TRC-MRC 2, LLC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TRC-MRC 3, LLC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TRC-MRC 4, LLC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TRC-MRC 5, LLC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TRC-DP1, LLC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Centennial Founders, LLC</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91"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Centennial Founders, LLC, is consolidated within the Company's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15.    RELATED PARTY TRANSACTIONS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and industrial development. The Company is the largest landowner and taxpayer within TCWD. The Company has a water purchase service contract with TCWD that entitles it to receive all of TCWD’s State Water Project contract water and TCWD holds the Company's banked water in the Kern Water Bank. TCWD is also entitled to make assessments of all taxpayers within the district, to the extent funds are required to cover expenses and to charge water users within the district for the use of water. From time to time, the Company transacts with TCWD in the ordinary course of business. The Company's Senior Vice President, Chief Financial Officer and Chief Accounting Officer, Robert Velasquez, was appointed the treasurer of TCWD in February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water contracts with WRMWSD for SWP water deliveries to its agricultural and municipal/industrial operations in the San Joaquin Valley. The terms of these contracts extend to 2085. Under the contracts, the Company is entitled to annual water for 5,487 acres of land, or 15,547 acre-feet of water, subject to SWP allocations. The Company's former Executive Vice President and Chief Operating Officer, Allen Lyda, is one of nine directors at WRMWSD. Mr. Lyda retired from the Company on March 1, 2025. During the six months ended June 30, 2025, the Company paid $3,439,000 for these water contracts and related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2024 the Company entered into a consulting services agreement with Mr. Bielli, former Chief Executive Officer and current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member of the Board of Directors of the Company, for the provision of strategic counsel to the Board and the current CEO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upon Mr. Bielli’s retirement from his CEO position. The consulting agreement was for a term of one year, commencing April 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2025 and ended March 31, 2026. Compensation for Mr. Bielli’s consulting services was $85,000 per month. Mr. Bielli was also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reimbursed for normal and customary expenses incurred in connection with providing the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16.    SUBSEQUENT EVENT</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Subsequent to June 30, 2026, on July 16, 2026, the Company contributed approximately $2.3 million to TRC-DP1, LLC pursuant to a capital call under the joint venture agreement. The contribution represents additional equity funding for the development of the joint venture's industrial project.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6EBF"/>
          <w:sz w:val="20"/>
          <w:u w:val="single"/>
        </w:rPr>
      </w:pPr>
      <w:r>
        <w:rPr>
          <w:rFonts w:ascii="Times New Roman;serif" w:hAnsi="Times New Roman;serif"/>
          <w:b/>
          <w:color w:val="006EBF"/>
          <w:sz w:val="20"/>
          <w:u w:val="single"/>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0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Forward-Looking Statements</w:t>
      </w:r>
    </w:p>
    <w:p>
      <w:pPr>
        <w:pStyle w:val="TextBody"/>
        <w:bidi w:val="0"/>
        <w:spacing w:lineRule="auto" w:line="288" w:before="60" w:after="100"/>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on Form 10-Q contains forward-looking statements, including without limitation statements regarding strategic alliances, the almond, pistachio, olives and grape industries, the future plantings of permanent crops, future yields, prices and water availability for the Company's crops and real estate operations, future prices, production and demand for oil and other minerals, future development of the Company's property, future revenue and income of its jointly-owned travel plaza and other joint venture operations, the adequacy of future cash flows to fund our operations, future revenue and income residential leasing, the adequacy of current assets and contracts to meet our water and other commitments, market value risks associated with investment and risk management activities and with respect to inventory and accounts receivable, our outstanding indebtedness, ongoing negotiations and other future events and conditions. In some cases, these statements are identifiable through use of words such as “anticipate,” “believe,” “estimate,” “expect,” “intend,” “plan,” “project,” “target,” “can,” “could,” “may,” “will,” “should,” “would,” “likely,” and similar expressions such as “in the process” “designed to,” “well positioned,” or “envisioned to.”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weather, market, geopolitical and economic forces, availability of financing for land development activities, and competition and success in obtaining various governmental approvals and entitlements for land development activities, and the timing and outcome of regulatory or litigation processes. No assurance can be given that the actual future results will not differ materially from the forward-looking statements that we make for several reasons, including those described above and in Part I, Item 1A“Risk Factors” of our most recent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6EBF"/>
          <w:sz w:val="20"/>
        </w:rPr>
      </w:pPr>
      <w:r>
        <w:rPr>
          <w:rFonts w:ascii="Times New Roman;serif" w:hAnsi="Times New Roman;serif"/>
          <w:b/>
          <w:color w:val="006EBF"/>
          <w:sz w:val="20"/>
        </w:rPr>
        <w:t>OVERVIEW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 California-based company whose 270,000-acre landholding supports a diversified portfolio of real estate and land-based businesses, anchored by the Tejon Ranch Commerce Center (“TRCC”), a 20 million-square-foot commercial and industrial development strategically located along Interstate 5 at the gateway between the Los Angeles Basin and California’s Central Valley. TRCC is the primary driver of our revenue and earnings. TRC’s portfolio within TRCC comprises approximately 3.4 million square feet of gross leasable area, which is substantially fully leased to nationally recognized tenants, including IKEA, L’Oréal, and Dollar General. In addition, the broader TRCC development, totaling over 8 million square feet, includes major third-party industrial users such as Caterpillar and Nestlé, further reinforcing the scale, quality, and strategic importance of the park.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actively expanding TRCC through additional industrial development, commercial leasing activity, and the introduction of our first residential community, Terra Vista at Tejon, which has transitioned TRCC into a mixed-use master-planned development. In connection with the commencement of lease-up at Terra Vista at Tejon, we began reporting Multifamily as a separate operating segment in 2025, reflecting our expansion into the development and long-term ownership of residential rental communities.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prime asset is approximately 270,000 acres of contiguous, largely undeveloped land, extending approximately 60 miles north of downtown Los Angeles at its southern boundary and to an area approximately 15 miles southeast of Bakersfield at its northern boundary.</w:t>
      </w:r>
    </w:p>
    <w:p>
      <w:pPr>
        <w:pStyle w:val="TextBody"/>
        <w:bidi w:val="0"/>
        <w:spacing w:lineRule="auto" w:line="288" w:before="100" w:after="283"/>
        <w:jc w:val="left"/>
        <w:rPr>
          <w:rFonts w:ascii="Times New Roman;serif" w:hAnsi="Times New Roman;serif"/>
          <w:b/>
          <w:color w:val="006EBF"/>
          <w:sz w:val="20"/>
        </w:rPr>
      </w:pPr>
      <w:r>
        <w:rPr>
          <w:rFonts w:ascii="Times New Roman;serif" w:hAnsi="Times New Roman;serif"/>
          <w:b/>
          <w:color w:val="006EBF"/>
          <w:sz w:val="20"/>
        </w:rPr>
        <w:t>Business Objectives and Strategies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primary business objective is to maximize long-term shareholder value through the development, leasing, and monetization of our land-based assets, with our commercial and industrial operations at the Tejon Ranch Commerce Center (“TRCC”) serving as a central component of this strategy. In addition, our real estate platform now includes a dedicated Multifamily segment, reflecting our strategic evolution into a more diversified, mixed-use master-planned development. We allocate capital toward projects that we believe generate attractive risk-adjusted returns while enhancing the long-term value of our landholdings.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Complementing our commercial platform, our Multifamily segment is focused on the development and long-term ownership of residential rental communities within our master-planned projects, beginning with Terra Vista at Tejon. Terra Vista is currently in the lease-up phase as we work to stabilize occupancy and optimize rental rates. Typical of newly delivered apartment communities, lease-up is expected to occur over time as market awareness builds and occupancy trends toward stabilized levels. Upon stabilization, we expect the project to generate recurring rental revenues and net operating income, increasing the stability and predictability of our earnings. Multifamily development also supports on-site employment centers by providing housing within our mixed-use communities and represents a strategic expansion of our real estate platform.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Looking beyond our current development footprint at TRCC, we hold long-term entitlements for two large-scale master-planned residential communities - Mountain Village and Grapevine - and are in the re-entitlement process for a third, Centennial (as described below), collectively comprising 35,278 housing units and more than 35 million square feet of commercial development.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Centennial at Tejon Ranch, or Centennial, had entitlements approved in 2019 by the Los Angeles County Board of Supervisors. These approvals were litigated in two lawsuits filed in Los Angeles County Superior Court. As previously disclosed and summarized in our annual report on Form 10-K, this litigation resulted in LA County rescinding and setting aside the Centennial approvals in compliance with the court’s final judgment, and the Company considers that litigation resolved. There have been no material developments during the three months ended June 30, 2026, that would change that conclusion. Now that this litigation is resolved, the Company is in the process of working with LA County to advance the Centennial project and is seeking re-entitlement of the Centennial project (“re-entitlement”). We expect that re-entitlement will involve processing project and use entitlements that are substantively similar to the Centennial approvals that were approved by the LA County Board of Supervisors in 2019. In that regard the Company is presently circulating a recirculated partial draft environmental impact report (“RPDEIR”) for public review and comment that is expected to facilitate the consideration of re-entitlement before LA County’s Regional Planning Commission and (ultimately) the Board of Supervisors late this year.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All of these efforts are supported by diverse revenue streams generated from other operations, including: farming, mineral resources, ranch operations, and our various joint ventures.</w:t>
      </w:r>
    </w:p>
    <w:p>
      <w:pPr>
        <w:pStyle w:val="TextBody"/>
        <w:bidi w:val="0"/>
        <w:spacing w:lineRule="auto" w:line="288" w:before="100" w:after="283"/>
        <w:jc w:val="left"/>
        <w:rPr>
          <w:rFonts w:ascii="Times New Roman;serif" w:hAnsi="Times New Roman;serif"/>
          <w:b/>
          <w:color w:val="006EBF"/>
          <w:sz w:val="20"/>
        </w:rPr>
      </w:pPr>
      <w:r>
        <w:rPr>
          <w:rFonts w:ascii="Times New Roman;serif" w:hAnsi="Times New Roman;serif"/>
          <w:b/>
          <w:color w:val="006EBF"/>
          <w:sz w:val="20"/>
        </w:rPr>
        <w:t>Our Business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currently operate in six reporting segments: commercial/industrial real estate development; multifamily; resort/residential real estate development; mineral resources; farming; and ranch operations.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Commercial/Industrial Real Estate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Commercial/Industrial segment is the Company’s primary revenue and earnings engine, encompassing the full cycle of real estate value creation: planning and permitting of land held for development, construction of infrastructure and buildings (both pre-leased and speculative), and the sale of entitled land parcels to third parties. This segment represents the largest contributor to the Company’s consolidated operating income. In addition to rental revenues, the segment benefits from recurring income streams such as communications leases, a power plant lease, and landscape maintenance fees.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the heart of the commercial/industrial real estate development segment is TRCC, a 20 million square foot mixed-use development on Interstate 5 just north of the Los Angeles basin. With the completion of Terra Vista at Tejon construction, TRCC is now evolving into a vibrant residential and employment hub, enhancing the interconnectivity of our mixed-use master planned community strategy. Over eight million square feet of industrial, commercial and retail space has already been developed or is under development, including distribution centers for IKEA, Caterpillar, Nestlé, Famous Footwear, L'Oreal, Camping World, Sunrise Brands, Dollar General and RectorSeal. TRCC sits on both sides of Interstate 5, giving distributors immediate access to the West Coast’s principal north-south goods movement corridor.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involved in multiple joint ventures within TRCC with several partners that help us expand our commercial/industrial business activities: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joint venture with TravelCenters of America that owns and operates two travel and truck stop facilities, comprised of five separate gas stations with convenience stores and fast-food restaurants within TRCC-West and TRCC-East.</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joint venture, TRCC/Rock Outlet Center LLC, with Rockefeller Group Development Corporation, or Rockefeller which operates the Outlets at Tejon, a net leasable 326,000 square foot shopping experience in TRCC-East.</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Five joint ventures with Majestic Realty Co., or Majestic, to develop, manage, and operate five industrial buildings comprised of 2.8 million square feet of industrial space all within TRCC and all fully leased.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joint venture, TRC-DP 1, LLC, or the DP1 Joint Venture, with Dedeaux Properties to develop, manage, and operate an industrial building of 510,385 square feet at TRCC-East. On April 28, 2026, we contributed approximately 24.57 acres of land to the DP1 Joint Venture and construction commenced, with occupancy expected in the first quarter of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Multifamily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2021, the Kern County Board of Supervisors approved a Conditional Use Permit authorizing the development of Terra Vista at Tejon, a multifamily apartment community within TRCC consisting of up to 495 units across thirteen buildings, approximately 6,500 square feet of amenity space, and 8,000 square feet of community-serving retail on a 22-acre site immediately north of the Outlets at Tejon. The first phase, completed in 2025, includes 228 units and represents the first newly constructed, professionally managed multifamily community within TRCC, introducing a limited product type to the South Bakersfield submarket.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Leasing commenced in May 2025, and the project was approximately 77% leased as of June 30, 2026, reflecting continued absorption toward stabilization. Terra Vista at Tejon represents the initial residential component of TRCC and is intended to support housing demand from employees working in nearby distribution, retail, hospitality, and service uses, including employees who work at the Hard Rock Casino Tejon. The Company continues to position its multifamily platform to benefit from regional employment growth, while monitoring key operating metrics such as occupancy, leasing activity, renewal rates, concessions, and rental rates, which may fluctuate based on market conditions, competitive supply, and broader economic factors.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Resort Residential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resort/residential real estate development segment is actively involved in the land entitlement and development process internally and through a joint venture. Our active developments within this segment are MV, Centennial, and Grapevine, with Grapevine North representing a fourth opportunity in this segment. Our master planned communities represent long-term value drivers for the Company. By leveraging a strong track record of obtaining and defending entitlements in California’s complex regulatory environment, we are building the foundation for future recurring revenue generation while preserving optionality across our land portfolio.</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MV encompasses a total of 26,417 acres, of which 5,082 acres are approved to be used for a master planned community development that will include housing, retail, and commercial components. MV is entitled for 3,450 homes, 160,000 square feet of commercial development, 750 hotel keys, and more than 21,335 acres of open space;</w:t>
      </w:r>
    </w:p>
    <w:p>
      <w:pPr>
        <w:pStyle w:val="TextBody"/>
        <w:bidi w:val="0"/>
        <w:spacing w:lineRule="auto" w:line="268" w:before="100" w:after="283"/>
        <w:ind w:left="0" w:right="0" w:hanging="360"/>
        <w:jc w:val="left"/>
        <w:rPr/>
      </w:pPr>
      <w:r>
        <w:rPr>
          <w:color w:val="000000"/>
        </w:rPr>
        <w:t>•</w:t>
      </w:r>
      <w:r>
        <w:rPr>
          <w:rFonts w:ascii="Times New Roman;serif" w:hAnsi="Times New Roman;serif"/>
          <w:b w:val="false"/>
          <w:color w:val="000000"/>
          <w:sz w:val="20"/>
        </w:rPr>
        <w:t xml:space="preserve">The Centennial development is a master planned community development encompassing 12,323 acres of our land within Los Angeles County. Upon completion of Centennial, it is estimated that the community will include approximately 19,333 homes and 10.1 million square feet of commercial development, including nearly 3,500 affordable units. See Note 11 (Commitments and Contingencies) of the Notes to Unaudited Consolidated Financial Statements for additional information related to current progress on re-entitlement; </w:t>
      </w:r>
    </w:p>
    <w:p>
      <w:pPr>
        <w:pStyle w:val="TextBody"/>
        <w:bidi w:val="0"/>
        <w:spacing w:lineRule="auto" w:line="268" w:before="100" w:after="283"/>
        <w:ind w:left="0" w:right="0" w:hanging="360"/>
        <w:jc w:val="left"/>
        <w:rPr/>
      </w:pPr>
      <w:r>
        <w:rPr>
          <w:color w:val="000000"/>
        </w:rPr>
        <w:t>•</w:t>
      </w:r>
      <w:r>
        <w:rPr>
          <w:rFonts w:ascii="Times New Roman;serif" w:hAnsi="Times New Roman;serif"/>
          <w:b w:val="false"/>
          <w:color w:val="000000"/>
          <w:sz w:val="20"/>
        </w:rPr>
        <w:t xml:space="preserve">Grapevine is an 8,010-acre development area located on the San Joaquin Valley floor area of our lands, adjacent to TRCC. Upon completion of Grapevine, this master planned community is expected to include 12,000 homes, 5.1 million square feet of commercial development, and more than 3,367 acres of open space and parks; and </w:t>
      </w:r>
    </w:p>
    <w:p>
      <w:pPr>
        <w:pStyle w:val="TextBody"/>
        <w:bidi w:val="0"/>
        <w:spacing w:lineRule="auto" w:line="268" w:before="100" w:after="283"/>
        <w:ind w:left="0" w:right="0" w:hanging="360"/>
        <w:jc w:val="left"/>
        <w:rPr/>
      </w:pPr>
      <w:r>
        <w:rPr>
          <w:color w:val="000000"/>
        </w:rPr>
        <w:t>•</w:t>
      </w:r>
      <w:r>
        <w:rPr>
          <w:rFonts w:ascii="Times New Roman;serif" w:hAnsi="Times New Roman;serif"/>
          <w:b w:val="false"/>
          <w:color w:val="000000"/>
          <w:sz w:val="20"/>
        </w:rPr>
        <w:t>Immediately northeast of Grapevine is Grapevine North, a 7,655-acre development area, which is currently used for agricultural purposes. Identified as a development area in the RWA, Grapevine North presents a significant opportunity for future development. Grapevine North may feature mixed-use community development similar to Grapevine at Tejon Ranch, or other development uses as appropriate based upon market conditions at the time. The Company is not currently pursuing entitlements for Grapevine North.</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Please refer to our Annual Report on Form 10-K for the year ended December 31, 2025, for a more detailed description of our active developments within the resort/residential real estate development segment.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mineral resources segment generates recurring royalty income from third-party extraction activities with minimal capital deployment by the Company, such as our lease with National Cement Company of California Inc. These activities leverage the underlying value of our land and represent a natural extension of our land-based business model.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farming segment produces revenues from the sale of wine grapes, almonds, and pistachios. As part of our crop segmentation strategy within the farming division, we have initiated the planting of an olive orchard to diversify our commodity portfolio and better position the Company for shifts in market conditions.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ranch operations primarily support land stewardship and cost management across our broader landholdings. These activities include infrastructure maintenance and operational oversight of our approximately 270,000 acres and contribute modest operating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00" w:after="283"/>
        <w:jc w:val="left"/>
        <w:rPr/>
      </w:pPr>
      <w:r>
        <w:rPr>
          <w:rFonts w:ascii="Times New Roman;serif" w:hAnsi="Times New Roman;serif"/>
          <w:b/>
          <w:color w:val="006EBF"/>
          <w:sz w:val="20"/>
        </w:rPr>
        <w:t>Summary of Second Quarter and YTD 2026</w:t>
      </w:r>
      <w:r>
        <w:rPr>
          <w:color w:val="000000"/>
        </w:rPr>
        <w:t xml:space="preserve"> </w:t>
      </w:r>
      <w:r>
        <w:rPr>
          <w:rFonts w:ascii="Times New Roman;serif" w:hAnsi="Times New Roman;serif"/>
          <w:b/>
          <w:color w:val="006EBF"/>
          <w:sz w:val="20"/>
        </w:rPr>
        <w:t>Performance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 had net income attributable to common stockholders of $2,635,000 compared to a net loss attributable to common stockholders of $1,712,000 for the three months ended June 30, 2025. On the revenue side, the primary driver of this $4,347,000 increase in net income was a land sale related to the TRC-DP1, LLC, in addition to higher mineral resources revenues of $279,000 attributed to higher water sales revenue. On the expense side, corporate expenses were $2,061,000 lower than prior period, due to lower compensation expense and the non-recurring nature of shareholders' activism expense incurred in 2025. The above mentioned factors were partially offset by a $408,000 increase in income tax expense, primarily due to a change from a $435,000 income tax expense in the prior period to a $843,000 income tax expense in the current quarter.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had net income attributable to common stockholders of $2,786,000 compared to a net loss attributable to common stockholders of $3,176,000 for the six months ended June 30, 2025. On the revenue side, the primary driver of this $5,962,000 increase in net income was the land sale, increased revenue from our multifamily segment, and higher mineral resources revenues of $1,217,000 attributed to higher water sales revenue. On the expense side, corporate expenses were $4,411,000 lower than prior period, due to lower compensation expense and the non-recurring nature of shareholders' activism expense incurred in 2025. The above mentioned factors were partially offset by a $1,739,000 increase in income tax expense, primarily due to improved operating results.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13 (Reporting Segments and Related Information) of the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6EBF"/>
          <w:sz w:val="20"/>
        </w:rPr>
      </w:pPr>
      <w:r>
        <w:rPr>
          <w:rFonts w:ascii="Times New Roman;serif" w:hAnsi="Times New Roman;serif"/>
          <w:b/>
          <w:color w:val="006EBF"/>
          <w:sz w:val="20"/>
        </w:rPr>
        <w:t>Critical Accounting Estimates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our interim financial statements in accordance with GAAP requires us to make estimates and judgments that affect the reported amounts for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use of different estimates that we reasonably could have used in the current period, or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and our future ability to utilize deferred tax assets.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our critical accounting policies have not changed since the filing of our Annual Report on Form 10-K for the year ended December 31, 2025. Please refer to that filing for a description of our critical accounting policies. Please also refer to Note 1 (Basis of Presentation) in the Notes to Unaudited Consolidated Financial Statements in this report for a discussion regarding newly adopted accounting principles.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6EBF"/>
          <w:sz w:val="20"/>
        </w:rPr>
      </w:pPr>
      <w:r>
        <w:rPr>
          <w:rFonts w:ascii="Times New Roman;serif" w:hAnsi="Times New Roman;serif"/>
          <w:b/>
          <w:color w:val="006EBF"/>
          <w:sz w:val="20"/>
        </w:rPr>
        <w:t>Results of Operations by Segment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pStyle w:val="TextBody"/>
        <w:bidi w:val="0"/>
        <w:spacing w:lineRule="auto" w:line="288" w:before="180" w:after="283"/>
        <w:jc w:val="left"/>
        <w:rPr>
          <w:rFonts w:ascii="Times New Roman;serif" w:hAnsi="Times New Roman;serif"/>
          <w:b/>
          <w:color w:val="006EBF"/>
          <w:sz w:val="20"/>
          <w:u w:val="single"/>
        </w:rPr>
      </w:pPr>
      <w:r>
        <w:rPr>
          <w:rFonts w:ascii="Times New Roman;serif" w:hAnsi="Times New Roman;serif"/>
          <w:b/>
          <w:color w:val="006EBF"/>
          <w:sz w:val="20"/>
          <w:u w:val="single"/>
        </w:rPr>
        <w:t>Real Estate – Commercial/Industrial:</w:t>
      </w:r>
    </w:p>
    <w:tbl>
      <w:tblPr>
        <w:tblW w:w="10205" w:type="dxa"/>
        <w:jc w:val="center"/>
        <w:tblInd w:w="0" w:type="dxa"/>
        <w:tblLayout w:type="fixed"/>
        <w:tblCellMar>
          <w:top w:w="28" w:type="dxa"/>
          <w:left w:w="28" w:type="dxa"/>
          <w:bottom w:w="28" w:type="dxa"/>
          <w:right w:w="28" w:type="dxa"/>
        </w:tblCellMar>
      </w:tblPr>
      <w:tblGrid>
        <w:gridCol w:w="1587"/>
        <w:gridCol w:w="1333"/>
        <w:gridCol w:w="1331"/>
        <w:gridCol w:w="292"/>
        <w:gridCol w:w="854"/>
        <w:gridCol w:w="150"/>
        <w:gridCol w:w="150"/>
        <w:gridCol w:w="150"/>
        <w:gridCol w:w="150"/>
        <w:gridCol w:w="292"/>
        <w:gridCol w:w="854"/>
        <w:gridCol w:w="150"/>
        <w:gridCol w:w="133"/>
        <w:gridCol w:w="133"/>
        <w:gridCol w:w="133"/>
        <w:gridCol w:w="258"/>
        <w:gridCol w:w="755"/>
        <w:gridCol w:w="133"/>
        <w:gridCol w:w="133"/>
        <w:gridCol w:w="133"/>
        <w:gridCol w:w="133"/>
        <w:gridCol w:w="283"/>
        <w:gridCol w:w="287"/>
        <w:gridCol w:w="398"/>
      </w:tblGrid>
      <w:tr>
        <w:trPr/>
        <w:tc>
          <w:tcPr>
            <w:tcW w:w="158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4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4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Commercial/industrial revenues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Pastoria Energy Facility</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TRCC Leasing</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TRCC management fees and reimbursements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 leases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Landscaping and other services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sale</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commercial/industrial revenues</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of land</w:t>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commercial/industrial expenses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from commercial/industrial</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Prior period's segment activity related to the TRCC Leasing and Landscaping and other services has been recast to conform to the current period presentation.</w:t>
            </w:r>
          </w:p>
        </w:tc>
      </w:tr>
    </w:tbl>
    <w:p>
      <w:pPr>
        <w:pStyle w:val="TextBody"/>
        <w:bidi w:val="0"/>
        <w:spacing w:before="0" w:after="0"/>
        <w:jc w:val="center"/>
        <w:rPr/>
      </w:pPr>
      <w:r>
        <w:rPr/>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Commercial/industrial real estate development segment revenues were $9,663,000 for the three months ended June 30, 2026, compared to $5,092,000 for the same period in 2025, an increase of $4,571,000, or 90%. The increase was primarily attributable to higher land sale activity. During the current-year quarter, the Company completed a $6,854,000 land sale in connection with the TRC-DP1, LLC, compared to land sales of $2,373,000 in the prior-year quarter. Gross profit from land sales was $2,000,000 during the current-year quarter, compared to $595,000 in the prior-year period.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Excluding land sales, revenues from recurring operations increased $90,000, or 3.3%, to $2,809,000, primarily due to $46,000 increase in TRCC leasing revenues, a $35,000 increase in TRCC management fees and reimbursements, and a $34,000 increase in Pastoria Energy Facility revenues, partially offset by a $25,000 decrease in commercial leasing revenues and a $19,000 decrease in landscaping and other services revenues. Operating income from recurring operations increased $169,000, or 13%, reflecting the increase in recurring revenues and continued expense management.</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Commercial/industrial real estate development segment expenses were $6,212,000 for the three months ended June 30, 2026, compared to $3,215,000 for the same period in 2025, an increase of $2,997,000, or 93.2%. The increase was primarily attributable to higher cost of land sales associated with the current-year quarter land sale. Cost of land sales was $4,854,000 during the current-year quarter, compared to $1,778,000 during the prior-year quarter.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Excluding cost of land sales, segment expenses decreased $79,000, or 5.5%. Selling, general and administrative expenses decreased $162,000, or 21.0%, primarily due to the reversal of previously recognized stock-based compensation expense during the quarter, which is not indicative of ongoing operating expense levels. Depreciation and amortization expense decreased $8,000. These decreases were partially offset by $91,000, or 16.0%, increase in operating expenses, primarily attributable to professional services related to efforts for obtaining additional financing to fund future infrastructure development at our commerce center.</w:t>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16"/>
        <w:gridCol w:w="1358"/>
        <w:gridCol w:w="1356"/>
        <w:gridCol w:w="266"/>
        <w:gridCol w:w="913"/>
        <w:gridCol w:w="137"/>
        <w:gridCol w:w="137"/>
        <w:gridCol w:w="137"/>
        <w:gridCol w:w="137"/>
        <w:gridCol w:w="266"/>
        <w:gridCol w:w="779"/>
        <w:gridCol w:w="137"/>
        <w:gridCol w:w="135"/>
        <w:gridCol w:w="135"/>
        <w:gridCol w:w="135"/>
        <w:gridCol w:w="263"/>
        <w:gridCol w:w="769"/>
        <w:gridCol w:w="135"/>
        <w:gridCol w:w="135"/>
        <w:gridCol w:w="135"/>
        <w:gridCol w:w="135"/>
        <w:gridCol w:w="291"/>
        <w:gridCol w:w="291"/>
        <w:gridCol w:w="407"/>
      </w:tblGrid>
      <w:tr>
        <w:trPr/>
        <w:tc>
          <w:tcPr>
            <w:tcW w:w="161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4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Commercial/industrial revenues</w:t>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Pastoria Energy Facility</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TRCC Leasing</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TRCC management fees and reimbursements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 leases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Landscaping and other services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sale</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commercial/industrial revenues</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of land</w:t>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commercial/industrial expenses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from commercial/industrial</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Prior period's segment activity related to the TRCC Leasing and Landscaping and other services has been recast to conform to the current period presentation.</w:t>
            </w:r>
          </w:p>
        </w:tc>
      </w:tr>
    </w:tbl>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Commercial/industrial real estate development segment revenues were $12,425,000 for the six months ended June 30, 2026, compared to $7,846,000 for the same period in 2025, an increase of $4,579,000, or 58.4%. The increase was primarily attributable to the second-quarter land sale discussed above. During the six months ended June 30, 2026, the Company completed a $6,854,000 land sale in connection with the TRC-DP1, LLC, compared to land sales of $2,373,000 during the prior-year period.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Excluding land sales, revenues from recurring operations increased $98,000, or 1.8%, to $5.6 million. The increase was primarily attributable to higher TRCC leasing revenues of $68,000, increased Pastoria Energy Facility revenues of $57,000, higher communication lease revenues of $53,000, and an increase in TRCC management fees and reimbursements of $17,000, partially offset by decreases in commercial lease revenues of $58,000 and landscaping and other services revenues of $39,000. Operating income from recurring operations increased approximately $159,000, or 6.7%, reflecting the increase in recurring revenues and continued expense management.</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Commercial/industrial real estate development segment expenses were $7,890,000 for the six months ended June 30, 2026, compared to $4,871,000 for the same period in 2025, an increase of $3,019,000, or 62%. The increase was primarily attributable to higher cost of land sales associated with the second-quarter land sale discussed above. Cost of land sales was $4,854,000 during the current-year period, compared to $1,774,000 during the prior-year period.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Excluding cost of land sales, segment expenses decreased $61,000, or 2.0%. Selling, general and administrative expenses decreased $222,000, or 13.0%, primarily due to the reversal of previously recognized stock-based compensation expense during the second quarter of 2026, which is not indicative of ongoing operating expense levels. Depreciation and amortization expense decreased $12,000. These decreases were partially offset by a $173,000, or 15.0%, increase in operating expenses, primarily attributable to higher landscaping services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logistics operators currently located at TRCC have demonstrated the site’s ability to serve customers throughout California and the broader western United States, and their presence continues to be highlighted in our marketing efforts. We intend to continue emphasizing in our marketing strategy TRCC’s strategic labor and logistics advantages, Kern County’s business-friendly incentive framework, and the operating success of existing tenants and property owners within the development. Our location aligns with a logistics model increasingly used by many companies, which favors large, centralized distribution facilities strategically located to optimize the balance of inbound and outbound efficiencies, rather than numerous smaller, decentralized distribution centers. The presence and performance of major logistics operators at TRCC support this model. In addition, TRCC’s location provides access to nearly 90% of California consumers within a single-day truck turn and to markets of more than 40 million people for next-day delivery service, which we believe supports e-commerce fulfillment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FTZ designation allows businesses to secure the many benefits and cost reductions associated with streamlined movement of goods in and out of the trade zone. This FTZ designation is further supplemented by the AKIP adopted by the Kern County Board of Supervisors. AKIP aims to expand and enhance Kern County's competitiveness by taking affirmative steps to attract new businesses and to encourage the growth and resilience of existing businesses. AKIP provides incentives, such as assistance in obtaining tax incentives, building supporting infrastructure, and workforce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believe the FTZ and AKIP, and our ability to offer fully entitled, shovel-ready land parcels capable of supporting buildings of any size, including buildings of one million square feet or more, provides us with a meaningful marketing advantage. Our marketing efforts are directed primarily toward the Inland Empire region of Southern California, the Santa Clarita Valley of northern Los Angeles County, the northern San Fernando Valley, where the availability of new industrial product is limited and real estate costs remain relatively high, and the San Joaquin Valley of California. We continue to analyze market conditions and evaluate opportunities to expand our portfolio of industrial buildings for lease, either independently or through partnerships, as we have done with buildings developed through our joint ventures.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potential disadvantage to our development strategy is TRCC’s greater distance from the Ports of Los Angeles and Long Beach as compared to warehouse and distribution facilities in the Inland Empire, a major industrial market east of Los Angeles that continues to expand farther east into areas including Perris, Moreno Valley and Beaumont. However, as Inland Empire development continues to move eastward, the relative disadvantage of TRCC’s distance from the ports may lessen. At the same time, TRCC’s location continues to offer access to major transportation corridors and broad regional consumer markets.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industrial market conditions in Southern California showed signs of stabilization. In the Inland Empire, vacancy declined 30 basis points to 7.8%, the first quarterly improvement in over a year, while net absorption rebounded to approximately 3.1 million square feet following negative absorption in the prior quarter. Average asking rents continued to soften, declining to approximately $0.99 per square foot. Gross leasing activity reached a record 16.7 million square feet, reflecting renewed tenant activity as rental rates moderated.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San Fernando Valley and Ventura County industrial markets also demonstrated improving fundamentals during the quarter. Combined net absorption totaled approximately 371,000 square feet, reversing negative absorption recorded in the prior quarter. Vacancy improved to 3.8% in the San Fernando Valley and 3.3% in Ventura County, while no new supply was delivered for the third consecutive quarter. Average asking rents remained stable at approximately $1.45 per square foot in the San Fernando Valley and $1.27 per square foot in Ventura County.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below for the vacancy rates and average asking rent of Inland Empire, North Los Angeles County (San Fernando Valley and Ventura County), Greater Los Angeles, and Southern Central Valley.</w:t>
      </w:r>
    </w:p>
    <w:tbl>
      <w:tblPr>
        <w:tblW w:w="10205" w:type="dxa"/>
        <w:jc w:val="left"/>
        <w:tblInd w:w="0" w:type="dxa"/>
        <w:tblLayout w:type="fixed"/>
        <w:tblCellMar>
          <w:top w:w="28" w:type="dxa"/>
          <w:left w:w="28" w:type="dxa"/>
          <w:bottom w:w="28" w:type="dxa"/>
          <w:right w:w="28" w:type="dxa"/>
        </w:tblCellMar>
      </w:tblPr>
      <w:tblGrid>
        <w:gridCol w:w="1012"/>
        <w:gridCol w:w="800"/>
        <w:gridCol w:w="804"/>
        <w:gridCol w:w="264"/>
        <w:gridCol w:w="264"/>
        <w:gridCol w:w="266"/>
        <w:gridCol w:w="109"/>
        <w:gridCol w:w="109"/>
        <w:gridCol w:w="109"/>
        <w:gridCol w:w="409"/>
        <w:gridCol w:w="409"/>
        <w:gridCol w:w="410"/>
        <w:gridCol w:w="109"/>
        <w:gridCol w:w="109"/>
        <w:gridCol w:w="109"/>
        <w:gridCol w:w="264"/>
        <w:gridCol w:w="264"/>
        <w:gridCol w:w="266"/>
        <w:gridCol w:w="109"/>
        <w:gridCol w:w="109"/>
        <w:gridCol w:w="109"/>
        <w:gridCol w:w="326"/>
        <w:gridCol w:w="273"/>
        <w:gridCol w:w="247"/>
        <w:gridCol w:w="136"/>
        <w:gridCol w:w="136"/>
        <w:gridCol w:w="136"/>
        <w:gridCol w:w="409"/>
        <w:gridCol w:w="409"/>
        <w:gridCol w:w="410"/>
        <w:gridCol w:w="136"/>
        <w:gridCol w:w="136"/>
        <w:gridCol w:w="136"/>
        <w:gridCol w:w="311"/>
        <w:gridCol w:w="258"/>
        <w:gridCol w:w="333"/>
      </w:tblGrid>
      <w:tr>
        <w:trPr/>
        <w:tc>
          <w:tcPr>
            <w:tcW w:w="10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15"/>
            <w:tcBorders/>
            <w:tcMar>
              <w:top w:w="0" w:type="dxa"/>
              <w:left w:w="0" w:type="dxa"/>
              <w:bottom w:w="0" w:type="dxa"/>
              <w:right w:w="0" w:type="dxa"/>
            </w:tcMar>
            <w:vAlign w:val="center"/>
          </w:tcPr>
          <w:p>
            <w:pPr>
              <w:pStyle w:val="TableContents"/>
              <w:bidi w:val="0"/>
              <w:spacing w:lineRule="auto" w:line="240" w:before="100" w:after="283"/>
              <w:jc w:val="center"/>
              <w:rPr>
                <w:rFonts w:ascii="Times New Roman;serif" w:hAnsi="Times New Roman;serif"/>
                <w:b/>
                <w:color w:val="000000"/>
                <w:sz w:val="20"/>
              </w:rPr>
            </w:pPr>
            <w:r>
              <w:rPr>
                <w:rFonts w:ascii="Times New Roman;serif" w:hAnsi="Times New Roman;serif"/>
                <w:b/>
                <w:color w:val="000000"/>
                <w:sz w:val="20"/>
              </w:rPr>
              <w:t>Vacancy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Monthly Asking Rent</w:t>
            </w:r>
          </w:p>
        </w:tc>
      </w:tr>
      <w:tr>
        <w:trPr/>
        <w:tc>
          <w:tcPr>
            <w:tcW w:w="2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2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Inland Empire</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$0.99</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Fernando Valley and Ventura County (North LA County)</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w:t>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Los Angeles</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$1.17</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w:t>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Southern Central Valley</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$0.77</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$0.74</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w:t>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TRCC</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$0.80+</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w:t>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Industrial users seeking larger facilities continue to consider locations further north into neighboring Kern County, including TRCC, as Southern California industrial markets stabilize and leasing activity improves despite higher vacancy rates than recent historical lows. TRCC also competes for tenants seeking alternatives to the Inland Empire and the Santa Clarita Valley. However, there can be no assurance that these factors will offset market vacancy levels, rental rate pressure, regulatory constraints, tenant consolidation trends or competing industrial development.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Given California’s regulators' recent efforts at the local and state levels to tighten restrictions on industrial zoning and specific industrial uses, we anticipate further legislative activity in this area. The Company’s existing and planned developments are designed to align with current regulatory requirements, while incorporating flexibility where possible to adapt to future policy changes. Through our advocacy efforts, Tejon Ranch will engage in policy discussions that support our commercial and industrial development objectives.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expect our commercial/industrial real estate development segment to continue to incur costs, net of amounts capitalized, primarily related to professional service fees, marketing, planning activities, and personnel as we pursue development opportunities. In addition, capital market conditions remain relatively restrictive, and elevated interest rates and limited construction financing availability may continue to slow commercial real estate development activity in the near term.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timing and completion of future development projects remain subject to market conditions and other uncertainties. Infrastructure development, marketing activities, and related costs may continue to increase over several years as we develop our landholdings. We will continue to evaluate our land resources to determine their highest and best use. Future land sales will depend on market conditions and the availability of suitable opportunities. Our long-term strategy is to enhance the value of our landholdings through planning and development activities that support future commercial and industrial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6EBF"/>
          <w:sz w:val="20"/>
          <w:u w:val="single"/>
        </w:rPr>
      </w:pPr>
      <w:r>
        <w:rPr>
          <w:rFonts w:ascii="Times New Roman;serif" w:hAnsi="Times New Roman;serif"/>
          <w:b/>
          <w:color w:val="006EBF"/>
          <w:sz w:val="20"/>
          <w:u w:val="single"/>
        </w:rPr>
        <w:t>Multifamily:</w:t>
      </w:r>
    </w:p>
    <w:tbl>
      <w:tblPr>
        <w:tblW w:w="8597" w:type="dxa"/>
        <w:jc w:val="left"/>
        <w:tblInd w:w="0" w:type="dxa"/>
        <w:tblLayout w:type="fixed"/>
        <w:tblCellMar>
          <w:top w:w="28" w:type="dxa"/>
          <w:left w:w="28" w:type="dxa"/>
          <w:bottom w:w="28" w:type="dxa"/>
          <w:right w:w="28" w:type="dxa"/>
        </w:tblCellMar>
      </w:tblPr>
      <w:tblGrid>
        <w:gridCol w:w="1351"/>
        <w:gridCol w:w="1188"/>
        <w:gridCol w:w="1196"/>
        <w:gridCol w:w="271"/>
        <w:gridCol w:w="598"/>
        <w:gridCol w:w="140"/>
        <w:gridCol w:w="140"/>
        <w:gridCol w:w="140"/>
        <w:gridCol w:w="140"/>
        <w:gridCol w:w="271"/>
        <w:gridCol w:w="695"/>
        <w:gridCol w:w="140"/>
        <w:gridCol w:w="109"/>
        <w:gridCol w:w="109"/>
        <w:gridCol w:w="109"/>
        <w:gridCol w:w="211"/>
        <w:gridCol w:w="466"/>
        <w:gridCol w:w="109"/>
        <w:gridCol w:w="109"/>
        <w:gridCol w:w="109"/>
        <w:gridCol w:w="109"/>
        <w:gridCol w:w="285"/>
        <w:gridCol w:w="286"/>
        <w:gridCol w:w="316"/>
      </w:tblGrid>
      <w:tr>
        <w:trPr/>
        <w:tc>
          <w:tcPr>
            <w:tcW w:w="135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 revenues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income (loss)</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Multifamily revenues increased to $857,000 for the three months ended June 30, 2026, from $15,000 in the prior-year period, reflecting increased occupancy following the commencement of leasing activity after the property was placed in service during the second quarter in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Multifamily net operating income was $345,000 for the three months ended June 30, 2026, compared to a net operating loss of $(166,000) in the prior-year period. The improvement reflects revenue growth following the commencement of leasing activity, which outpaced increases in property-level operating expenses of $259,000 and selling, general and administrative expenses of $72,000 associated with ongoing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Company expects multifamily revenues to continue increasing as leasing activity progresses and occupancy levels improve. As occupancy increases, the Company also expects operating margins to improve as fixed operating costs are spread across a larger leased base.</w:t>
      </w:r>
    </w:p>
    <w:tbl>
      <w:tblPr>
        <w:tblW w:w="8655" w:type="dxa"/>
        <w:jc w:val="center"/>
        <w:tblInd w:w="0" w:type="dxa"/>
        <w:tblLayout w:type="fixed"/>
        <w:tblCellMar>
          <w:top w:w="28" w:type="dxa"/>
          <w:left w:w="28" w:type="dxa"/>
          <w:bottom w:w="28" w:type="dxa"/>
          <w:right w:w="28" w:type="dxa"/>
        </w:tblCellMar>
      </w:tblPr>
      <w:tblGrid>
        <w:gridCol w:w="1351"/>
        <w:gridCol w:w="1188"/>
        <w:gridCol w:w="1196"/>
        <w:gridCol w:w="232"/>
        <w:gridCol w:w="678"/>
        <w:gridCol w:w="120"/>
        <w:gridCol w:w="120"/>
        <w:gridCol w:w="120"/>
        <w:gridCol w:w="120"/>
        <w:gridCol w:w="232"/>
        <w:gridCol w:w="596"/>
        <w:gridCol w:w="120"/>
        <w:gridCol w:w="109"/>
        <w:gridCol w:w="109"/>
        <w:gridCol w:w="109"/>
        <w:gridCol w:w="211"/>
        <w:gridCol w:w="616"/>
        <w:gridCol w:w="109"/>
        <w:gridCol w:w="109"/>
        <w:gridCol w:w="109"/>
        <w:gridCol w:w="109"/>
        <w:gridCol w:w="338"/>
        <w:gridCol w:w="338"/>
        <w:gridCol w:w="316"/>
      </w:tblGrid>
      <w:tr>
        <w:trPr/>
        <w:tc>
          <w:tcPr>
            <w:tcW w:w="135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 revenues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income (loss)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Multifamily revenues increased to $1,553,000 for the six months ended June 30, 2026, from $15,000 in the prior-year period, reflecting increased occupancy following the commencement of leasing activities after the property was placed in service during the second quarter of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Multifamily net operating income was $534,000 for the six months ended June 30, 2026, compared to a net operating loss of $(358,000) in the prior-year period. The improvement reflects revenue growth following the commencement of leasing activity, which outpaced increases in property-level operating expenses of $563,000 and selling, general and administrative expenses of $84,000 associated with ongoing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Company expects multifamily revenues to continue increasing as leasing activity progresses and occupancy levels improve. As occupancy increases, the Company also expects operating margins to improve as fixed operating costs are spread across a larger leased base.</w:t>
      </w:r>
    </w:p>
    <w:p>
      <w:pPr>
        <w:pStyle w:val="TextBody"/>
        <w:bidi w:val="0"/>
        <w:spacing w:lineRule="auto" w:line="288" w:before="200" w:after="283"/>
        <w:jc w:val="left"/>
        <w:rPr>
          <w:rFonts w:ascii="Times New Roman;serif" w:hAnsi="Times New Roman;serif"/>
          <w:b/>
          <w:color w:val="006EBF"/>
          <w:sz w:val="20"/>
          <w:u w:val="single"/>
        </w:rPr>
      </w:pPr>
      <w:r>
        <w:rPr>
          <w:rFonts w:ascii="Times New Roman;serif" w:hAnsi="Times New Roman;serif"/>
          <w:b/>
          <w:color w:val="006EBF"/>
          <w:sz w:val="20"/>
          <w:u w:val="single"/>
        </w:rPr>
        <w:t>Real Estate – Resort/Residential: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in the preliminary stages of property development; hence, no revenues or profits are attributed to this segment.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Resort/residential real estate development segment expenses were $363,000 for the three months ended June 30, 2026, an increase of $59,000 from $304,000 for the three months ended June 30, 2025. The increase was not attributable to any significant fluctuations across individual expense categories.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Resort/residential real estate development segment expenses were $719,000 for the six months ended June 30, 2026, compared to $690,000 for the prior-year period. The modest increase of $29,000, or 4%, reflected normal fluctuations across various operating expense categories, with no individual expense category or operational factor materially affecting the year-over-year comparison.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long-term business strategy to develop the master-planned communities of Mountain Village, Centennial, and Grapevine remains unchanged. We believe the fundamental drivers of housing demand in California, including a large and growing population, persistent housing supply constraints, and affordability-driven migration to the suburban and exurban regions of Los Angeles and Kern Counties, continue to support long-term demand for residential development in our markets.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While near-term market conditions, including elevated interest rates and affordability pressures, may affect the pace of housing activity, California’s well-documented housing shortage continues to support the long-term need for additional housing. Accordingly, the majority of expenditures and capital investments within our resort/residential real estate segment remain focused on these three communities.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development activities progress, we expect to evaluate a variety of financing alternatives to fund future project development, including joint ventures with strategic partners, debt financing, and the potential issuance of additional equity securities.</w:t>
      </w:r>
    </w:p>
    <w:p>
      <w:pPr>
        <w:pStyle w:val="TextBody"/>
        <w:bidi w:val="0"/>
        <w:spacing w:lineRule="auto" w:line="288" w:before="180" w:after="283"/>
        <w:jc w:val="left"/>
        <w:rPr>
          <w:rFonts w:ascii="Times New Roman;serif" w:hAnsi="Times New Roman;serif"/>
          <w:b/>
          <w:color w:val="006EBF"/>
          <w:sz w:val="20"/>
          <w:u w:val="single"/>
        </w:rPr>
      </w:pPr>
      <w:r>
        <w:rPr>
          <w:rFonts w:ascii="Times New Roman;serif" w:hAnsi="Times New Roman;serif"/>
          <w:b/>
          <w:color w:val="006EBF"/>
          <w:sz w:val="20"/>
          <w:u w:val="single"/>
        </w:rPr>
        <w:t>Mineral Resources:</w:t>
      </w:r>
    </w:p>
    <w:tbl>
      <w:tblPr>
        <w:tblW w:w="8561" w:type="dxa"/>
        <w:jc w:val="center"/>
        <w:tblInd w:w="0" w:type="dxa"/>
        <w:tblLayout w:type="fixed"/>
        <w:tblCellMar>
          <w:top w:w="28" w:type="dxa"/>
          <w:left w:w="28" w:type="dxa"/>
          <w:bottom w:w="28" w:type="dxa"/>
          <w:right w:w="28" w:type="dxa"/>
        </w:tblCellMar>
      </w:tblPr>
      <w:tblGrid>
        <w:gridCol w:w="1352"/>
        <w:gridCol w:w="1187"/>
        <w:gridCol w:w="1195"/>
        <w:gridCol w:w="243"/>
        <w:gridCol w:w="710"/>
        <w:gridCol w:w="125"/>
        <w:gridCol w:w="125"/>
        <w:gridCol w:w="125"/>
        <w:gridCol w:w="125"/>
        <w:gridCol w:w="243"/>
        <w:gridCol w:w="710"/>
        <w:gridCol w:w="125"/>
        <w:gridCol w:w="109"/>
        <w:gridCol w:w="109"/>
        <w:gridCol w:w="109"/>
        <w:gridCol w:w="211"/>
        <w:gridCol w:w="466"/>
        <w:gridCol w:w="109"/>
        <w:gridCol w:w="109"/>
        <w:gridCol w:w="109"/>
        <w:gridCol w:w="109"/>
        <w:gridCol w:w="269"/>
        <w:gridCol w:w="271"/>
        <w:gridCol w:w="316"/>
      </w:tblGrid>
      <w:tr>
        <w:trPr/>
        <w:tc>
          <w:tcPr>
            <w:tcW w:w="135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Mineral resources revenues</w:t>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sales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gas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Cement</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 aggregate</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Reimbursables and other</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mineral resources revenues</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of water</w:t>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mineral resources expenses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from mineral resources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Mineral resources segment revenues were $1,789,000 for the three months ended June 30, 2026, representing an increase of $279,000, or 18%, from $1,510,000 for the prior-year period. The increase was primarily driven by higher water sales, which increased $195,000 due to higher demand. Rock aggregate revenues increased $65,000, or 11%, reflecting both higher sales volumes and higher average realized prices per ton. Cement revenues increased $32,000, or 5%, driven by higher sales volumes, as average realized prices per ton were essentially unchanged. Oil and gas revenues increased $37,000, or 20%, primarily due to higher production volumes and commodity prices.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Mineral resources segment expenses were $890,000 for the three months ended June 30, 2026, an increase of $100,000, or 13%, from $790,000 for the prior-year period. The increase was primarily reflected higher costs of water sales of $141,000, consistent with the increase in water sales revenue, and a $51,000 increase in operating expenses, partially offset by a $92,000 decrease in selling, general and administrative expenses. The prior-year period included a net credit to cost of sales of water resulting from a true-up of estimated water delivery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200" w:after="283"/>
        <w:jc w:val="center"/>
        <w:rPr/>
      </w:pPr>
      <w:r>
        <w:rPr/>
      </w:r>
    </w:p>
    <w:tbl>
      <w:tblPr>
        <w:tblW w:w="8413" w:type="dxa"/>
        <w:jc w:val="center"/>
        <w:tblInd w:w="0" w:type="dxa"/>
        <w:tblLayout w:type="fixed"/>
        <w:tblCellMar>
          <w:top w:w="28" w:type="dxa"/>
          <w:left w:w="28" w:type="dxa"/>
          <w:bottom w:w="28" w:type="dxa"/>
          <w:right w:w="28" w:type="dxa"/>
        </w:tblCellMar>
      </w:tblPr>
      <w:tblGrid>
        <w:gridCol w:w="1352"/>
        <w:gridCol w:w="1187"/>
        <w:gridCol w:w="1195"/>
        <w:gridCol w:w="224"/>
        <w:gridCol w:w="655"/>
        <w:gridCol w:w="116"/>
        <w:gridCol w:w="116"/>
        <w:gridCol w:w="116"/>
        <w:gridCol w:w="116"/>
        <w:gridCol w:w="224"/>
        <w:gridCol w:w="655"/>
        <w:gridCol w:w="116"/>
        <w:gridCol w:w="109"/>
        <w:gridCol w:w="109"/>
        <w:gridCol w:w="109"/>
        <w:gridCol w:w="211"/>
        <w:gridCol w:w="616"/>
        <w:gridCol w:w="109"/>
        <w:gridCol w:w="109"/>
        <w:gridCol w:w="109"/>
        <w:gridCol w:w="109"/>
        <w:gridCol w:w="216"/>
        <w:gridCol w:w="219"/>
        <w:gridCol w:w="316"/>
      </w:tblGrid>
      <w:tr>
        <w:trPr/>
        <w:tc>
          <w:tcPr>
            <w:tcW w:w="135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Mineral resources revenues</w:t>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sales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gas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Cement</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 aggregate</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Reimbursables and other</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mineral resources revenues</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of water</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mineral resources expenses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from mineral resources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Mineral resources segment revenues were $5,322,000 for the six months ended June 30, 2026, an increase of $1,217,000, or 30%, from $4,105,000 for the prior-year period. The increase was primarily driven by water sales, which increased $823,000, or 56%, due to higher demand. Rock aggregate revenues increased $206,000, or 24%, primarily reflecting higher sales volumes. Cement revenues increased $148,000, or 13%, driven by higher sales volumes, as average realized prices per ton were relatively unchanged. These increases were partially offset by a $12,000, or 3%, decrease in oil and gas revenues, primarily due to lower production volumes and commodity prices.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Mineral resources segment expenses were $3,378,000 for the six months ended June 30, 2026, an increase of $503,000, or 17%, from $2,875,000 for the prior-year period. The increase primarily reflected higher costs of water sales of $558,000, consistent with the increase in related revenues, and a $61,000 increase in operating expenses, partially offset by a $117,000 decrease in selling, general and administrative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Demand for the Company's water is influenced by annual State Water Project ("SWP") allocations, hydrologic conditions, and customers' operational needs. Higher SWP allocations generally reduce demand for supplemental water supplies, while lower allocations may increase demand. Accordingly, water sales may fluctuate significantly from period to period and results for the current quarter or year-to-date period are not necessarily indicative of future operating results.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groundwater regulation in California continues to evolve, particularly under the Sustainable Groundwater Management Act (“SGMA”), we believe our water assets will become increasingly strategic and valuable. These assets include our water banking operations, groundwater recharge capabilities, and access to long-term water supply contracts, including SWP entitlements acquired in prior periods. We expect these resources to play a critical role in supporting our current and future development activities and to provide potential opportunities for incremental revenue through water sales to third parties.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SWP water contracts require annual payments for both fixed and variable costs associated with the SWP and the applicable water districts, regardless of water delivery. In addition to surface water supplies, the Company holds adjudicated groundwater rights, including an annual allocation of 1,634 acre-feet in the Antelope Valley Basin. The Company also has access to groundwater underlying portions of its landholdings, which it believes are sufficient to support planned commercial development along the Interstate 5 corridor, as well as ongoing agricultural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Kern County, the Company’s lands span three groundwater basins governed by the Sustainable Groundwater Management Act (SGMA): the Kern Subbasin, the White Wolf Subbasin, and the Castac Basin. Approximately 9% of the Company's Kern County land is within the Kern Subbasin and is primarily used for grazing with minimal water use. In contrast, the White Wolf Subbasin is being sustainably managed, with an approved GSP requiring only minor corrections, while the Castac Basin is a low-priority basin with no anticipated restrictions. The Company believes its diverse mix of surface water supplies, adjudicated groundwater rights, and banked water positions the Company well to navigate evolving regulatory frameworks and meet future water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Prices for oil and natural gas are subject to volatility due to changes in supply and demand, and other factors beyond the Company's control, including domestic and global inventory levels, geopolitical events, macroeconomic conditions, and regulatory developments. Oil and gas production in California has generally declined in recent years, reflecting a combination of increasing regulatory requirements, natural production declines, reduced capital investment, and other industry factors.</w:t>
      </w:r>
    </w:p>
    <w:p>
      <w:pPr>
        <w:pStyle w:val="TextBody"/>
        <w:bidi w:val="0"/>
        <w:spacing w:lineRule="auto" w:line="268" w:before="180" w:after="283"/>
        <w:jc w:val="left"/>
        <w:rPr>
          <w:rFonts w:ascii="Times New Roman;serif" w:hAnsi="Times New Roman;serif"/>
          <w:b/>
          <w:color w:val="006EBF"/>
          <w:sz w:val="20"/>
          <w:u w:val="single"/>
        </w:rPr>
      </w:pPr>
      <w:r>
        <w:rPr>
          <w:rFonts w:ascii="Times New Roman;serif" w:hAnsi="Times New Roman;serif"/>
          <w:b/>
          <w:color w:val="006EBF"/>
          <w:sz w:val="20"/>
          <w:u w:val="single"/>
        </w:rPr>
        <w:t>Farming:</w:t>
      </w:r>
    </w:p>
    <w:tbl>
      <w:tblPr>
        <w:tblW w:w="10205" w:type="dxa"/>
        <w:jc w:val="center"/>
        <w:tblInd w:w="0" w:type="dxa"/>
        <w:tblLayout w:type="fixed"/>
        <w:tblCellMar>
          <w:top w:w="28" w:type="dxa"/>
          <w:left w:w="28" w:type="dxa"/>
          <w:bottom w:w="28" w:type="dxa"/>
          <w:right w:w="28" w:type="dxa"/>
        </w:tblCellMar>
      </w:tblPr>
      <w:tblGrid>
        <w:gridCol w:w="1969"/>
        <w:gridCol w:w="1716"/>
        <w:gridCol w:w="1724"/>
        <w:gridCol w:w="258"/>
        <w:gridCol w:w="659"/>
        <w:gridCol w:w="132"/>
        <w:gridCol w:w="132"/>
        <w:gridCol w:w="132"/>
        <w:gridCol w:w="132"/>
        <w:gridCol w:w="258"/>
        <w:gridCol w:w="659"/>
        <w:gridCol w:w="132"/>
        <w:gridCol w:w="109"/>
        <w:gridCol w:w="109"/>
        <w:gridCol w:w="109"/>
        <w:gridCol w:w="211"/>
        <w:gridCol w:w="538"/>
        <w:gridCol w:w="109"/>
        <w:gridCol w:w="109"/>
        <w:gridCol w:w="109"/>
        <w:gridCol w:w="109"/>
        <w:gridCol w:w="233"/>
        <w:gridCol w:w="233"/>
        <w:gridCol w:w="324"/>
      </w:tblGrid>
      <w:tr>
        <w:trPr/>
        <w:tc>
          <w:tcPr>
            <w:tcW w:w="196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5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5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Farming revenues</w:t>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Almonds</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Pistachios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0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r>
      <w:tr>
        <w:trPr/>
        <w:tc>
          <w:tcPr>
            <w:tcW w:w="540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farming revenues</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farming expenses</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from farming before fixed water obligations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water obligations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from farming</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Farming segment revenues totaled $750,000 for the three months ended June 30, 2026, an increase of $143,000, or 24%, compared to $607,000 for the prior-year period. The increase was primarily attributable to pricing adjustments recognized on prior-year pistachio crop sales, partially offset by lower almond revenues. During the second quarter of 2026 and 2025, the Company sold approximately 79,000 pounds and 156,000 pounds, respectively, of almond carryover crop.</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Direct farming expenses were $521,000 for the three months ended June 30, 2026, compared to $824,000 for the prior-year period, a decrease of $303,000, or 37%. The decrease was primarily attributable to a $272,000, or 61%, reduction in cost of sales due to lower almond sales and a $55,000, or 18%, decrease in depreciation and amortization expense, partially offset by a $24,000, or 35%, increase in selling, general and administrative expenses.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Operating income from farming before fixed water obligations was $229,000 for the three months ended June 30, 2026, compared to an operating loss of $217,000 for the prior-year period, an improvement of $446,000. This improvement reflects a $143,000, or 24%, increase in total farming revenues combined with a $303,000, or 37%, decrease in direct farming expenses. The Company believes this measure is useful because it presents the operating performance of farming activities excluding fixed water obligations, which are incurred to preserve the Company's long-term water rights regardless of the level of farming activity.</w:t>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71"/>
        <w:gridCol w:w="1719"/>
        <w:gridCol w:w="1726"/>
        <w:gridCol w:w="211"/>
        <w:gridCol w:w="688"/>
        <w:gridCol w:w="109"/>
        <w:gridCol w:w="109"/>
        <w:gridCol w:w="109"/>
        <w:gridCol w:w="109"/>
        <w:gridCol w:w="211"/>
        <w:gridCol w:w="688"/>
        <w:gridCol w:w="109"/>
        <w:gridCol w:w="109"/>
        <w:gridCol w:w="109"/>
        <w:gridCol w:w="109"/>
        <w:gridCol w:w="211"/>
        <w:gridCol w:w="688"/>
        <w:gridCol w:w="109"/>
        <w:gridCol w:w="109"/>
        <w:gridCol w:w="109"/>
        <w:gridCol w:w="109"/>
        <w:gridCol w:w="233"/>
        <w:gridCol w:w="233"/>
        <w:gridCol w:w="318"/>
      </w:tblGrid>
      <w:tr>
        <w:trPr/>
        <w:tc>
          <w:tcPr>
            <w:tcW w:w="1971"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5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Farming revenues</w:t>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Almonds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Pistachios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41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41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farming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farming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from farming before fixed water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water obligations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from farming</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Farming segment revenues totaled $1,645,000 for the six months ended June 30, 2026, a decrease of $518,000, or 24%, compared to $2,163,000 for the prior-year period. The decrease was primarily attributable to lower almond revenues resulting from reduced sales of almond carryover crop. During the first six months of 2026 and 2025, the Company sold approximately 343,000 pounds and 727,000 pounds, respectively, of almond carryover crop.</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Direct farming expenses were $1,504,000 for the six months ended June 30, 2026, compared to $2,529,000 for the prior-year period, a decrease of $1,025,000, or 41%. The decrease was primarily attributable to a $953,000, or 55%, reduction in cost of sales due to lower almond sales and a $94,000, or 14%, decrease in depreciation and amortization expense, partially offset by a $22,000, or 21%, increase in selling, general and administrative expenses.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Operating income from farming before fixed water obligations was $141,000 for the six months ended June 30, 2026, compared to an operating loss of $366,000 for the prior-year period, an improvement of $507,000. This reduction reflects a $518,000, or 24%, decrease in total farming revenues combined with a $1,025,000, or 41%, decrease in direct farming expenses. The Company believes this measure is useful because it presents the operating performance of farming activities excluding fixed water obligations, which are incurred to preserve the Company's long-term water rights regardless of the level of farming activity.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Water holding costs represent fixed costs incurred to maintain the Company's long-term water rights and related infrastructure. These costs are generally incurred regardless of the volume of water purchased or used in farming operations. Accordingly, changes in these costs are not necessarily indicative of changes in farming activity or operating performance but reflect the Company's long-term strategy of preserving water resources to support its agricultural and real estate development operations.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Seasonality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Almond, pistachio, and wine grape sales are seasonal, with the majority of revenues typically generated during the third and fourth quarters of the year. Almonds and pistachios are generally sold at prevailing market prices, while wine grapes are sold under contracted pricing arrangements.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Olive Expansion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2026, the Company planted an additional 150 acres of olive orchards, bringing total olive acreage to approximately 300 acres. Olive trees generally require several years to reach commercial production, and accordingly, the newly planted acreage is not expected to generate meaningful revenues in the near term. The expanded olive acreage is expected to further diversify the Company's agricultural commodity mix over the long term.</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Weather Conditions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Weather conditions can significantly affect chill accumulation during dormancy, a period critical to tree and vine development. Winter conditions generally provided adequate chill accumulation for the Company's almond and pistachio orchards. Significant rainfall during the February 2026 almond bloom created less favorable pollination conditions, and because harvest has not yet begun, the Company cannot yet determine the impact of these conditions on its crop yields.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Input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continues to monitor broader macroeconomic and geopolitical developments that may affect production costs. Labor costs, including both employees and contract labor, have continued to increase, and the Company expects this trend to continue in the near term. The Company utilizes contract labor for seasonal activities, including pruning and harvesting, to supplement its workforce. In addition, fertilizer, chemicals, fuel, and other agricultural inputs remain subject to price volatility. Although the Company seeks to manage these costs through operational planning and procurement strategies, continued increases in input costs could adversely affect operating results.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Water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long-term effects of California's groundwater management laws on future agricultural production and new plantings remain uncertain. In addition, water availability continues to be a long-term consideration for agricultural operations throughout California. Limitations on State Water Project deliveries, particularly during drought conditions, could adversely affect agricultural production. Based on currently available water supplies and water resources, however, the Company believes it has sufficient water to meet its anticipated agricultural requirements for the 2026 crop year.</w:t>
      </w:r>
    </w:p>
    <w:p>
      <w:pPr>
        <w:pStyle w:val="TextBody"/>
        <w:bidi w:val="0"/>
        <w:spacing w:lineRule="auto" w:line="288" w:before="180" w:after="283"/>
        <w:jc w:val="left"/>
        <w:rPr>
          <w:rFonts w:ascii="Times New Roman;serif" w:hAnsi="Times New Roman;serif"/>
          <w:b/>
          <w:color w:val="006EBF"/>
          <w:sz w:val="20"/>
          <w:u w:val="single"/>
        </w:rPr>
      </w:pPr>
      <w:r>
        <w:rPr>
          <w:rFonts w:ascii="Times New Roman;serif" w:hAnsi="Times New Roman;serif"/>
          <w:b/>
          <w:color w:val="006EBF"/>
          <w:sz w:val="20"/>
          <w:u w:val="single"/>
        </w:rPr>
        <w:t>Ranch Operations:</w:t>
      </w:r>
    </w:p>
    <w:tbl>
      <w:tblPr>
        <w:tblW w:w="10205" w:type="dxa"/>
        <w:jc w:val="left"/>
        <w:tblInd w:w="0" w:type="dxa"/>
        <w:tblLayout w:type="fixed"/>
        <w:tblCellMar>
          <w:top w:w="28" w:type="dxa"/>
          <w:left w:w="28" w:type="dxa"/>
          <w:bottom w:w="28" w:type="dxa"/>
          <w:right w:w="28" w:type="dxa"/>
        </w:tblCellMar>
      </w:tblPr>
      <w:tblGrid>
        <w:gridCol w:w="1564"/>
        <w:gridCol w:w="1283"/>
        <w:gridCol w:w="1290"/>
        <w:gridCol w:w="308"/>
        <w:gridCol w:w="902"/>
        <w:gridCol w:w="158"/>
        <w:gridCol w:w="158"/>
        <w:gridCol w:w="158"/>
        <w:gridCol w:w="158"/>
        <w:gridCol w:w="308"/>
        <w:gridCol w:w="902"/>
        <w:gridCol w:w="158"/>
        <w:gridCol w:w="142"/>
        <w:gridCol w:w="142"/>
        <w:gridCol w:w="142"/>
        <w:gridCol w:w="276"/>
        <w:gridCol w:w="611"/>
        <w:gridCol w:w="142"/>
        <w:gridCol w:w="142"/>
        <w:gridCol w:w="142"/>
        <w:gridCol w:w="142"/>
        <w:gridCol w:w="274"/>
        <w:gridCol w:w="277"/>
        <w:gridCol w:w="426"/>
      </w:tblGrid>
      <w:tr>
        <w:trPr/>
        <w:tc>
          <w:tcPr>
            <w:tcW w:w="1564"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4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4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Ranch operations revenues</w:t>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Game management and other </w:t>
            </w:r>
            <w:r>
              <w:rPr>
                <w:rFonts w:ascii="Times New Roman;serif" w:hAnsi="Times New Roman;serif"/>
                <w:b w:val="false"/>
                <w:color w:val="000000"/>
                <w:sz w:val="13"/>
              </w:rPr>
              <w:t>1</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Grazing</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ranch operations revenues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ranch operations expenses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from ranch operations</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Game management and other revenues consist of revenues from hunting, filming, High Desert Hunt Club (a premier upland bird hunting club), and other ancillary activities.</w:t>
            </w:r>
          </w:p>
        </w:tc>
      </w:tr>
    </w:tbl>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Ranch operations revenues totaled $1,200,000 for the three months ended June 30, 2026, an increase of $117,000, or 11%, from $1,083,000 for the prior-year period. The increase was primarily driven by a $103,000 increase in grazing revenues, reflecting higher cattle prices. Game management and other revenues also increased due to higher guided hunt and membership revenues during the period.</w:t>
      </w:r>
    </w:p>
    <w:p>
      <w:pPr>
        <w:pStyle w:val="TextBody"/>
        <w:bidi w:val="0"/>
        <w:spacing w:lineRule="auto" w:line="268" w:before="100" w:after="283"/>
        <w:ind w:left="0" w:right="0" w:hanging="360"/>
        <w:jc w:val="left"/>
        <w:rPr/>
      </w:pPr>
      <w:r>
        <w:rPr>
          <w:color w:val="000000"/>
        </w:rPr>
        <w:t>•</w:t>
      </w:r>
      <w:r>
        <w:rPr>
          <w:rFonts w:ascii="Times New Roman;serif" w:hAnsi="Times New Roman;serif"/>
          <w:b w:val="false"/>
          <w:color w:val="000000"/>
          <w:sz w:val="20"/>
        </w:rPr>
        <w:t>Ranch operations expenses were $1,293,000 for the three months ended June 30, 2026, a decrease of $42,000, or 3%, from $1,335,000 for the prior-year period. The decrease was primarily attributable to a $96,000 reduction in selling, general and administrative expenses, reflecting lower allocated overhead costs, partially offset by a $62,000 increase in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84"/>
        <w:gridCol w:w="1299"/>
        <w:gridCol w:w="1306"/>
        <w:gridCol w:w="285"/>
        <w:gridCol w:w="836"/>
        <w:gridCol w:w="147"/>
        <w:gridCol w:w="147"/>
        <w:gridCol w:w="147"/>
        <w:gridCol w:w="147"/>
        <w:gridCol w:w="285"/>
        <w:gridCol w:w="836"/>
        <w:gridCol w:w="147"/>
        <w:gridCol w:w="141"/>
        <w:gridCol w:w="141"/>
        <w:gridCol w:w="141"/>
        <w:gridCol w:w="272"/>
        <w:gridCol w:w="681"/>
        <w:gridCol w:w="141"/>
        <w:gridCol w:w="141"/>
        <w:gridCol w:w="141"/>
        <w:gridCol w:w="141"/>
        <w:gridCol w:w="337"/>
        <w:gridCol w:w="342"/>
        <w:gridCol w:w="420"/>
      </w:tblGrid>
      <w:tr>
        <w:trPr/>
        <w:tc>
          <w:tcPr>
            <w:tcW w:w="158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4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4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Ranch operations revenues</w:t>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Game management and other </w:t>
            </w:r>
            <w:r>
              <w:rPr>
                <w:rFonts w:ascii="Times New Roman;serif" w:hAnsi="Times New Roman;serif"/>
                <w:b w:val="false"/>
                <w:color w:val="000000"/>
                <w:sz w:val="13"/>
              </w:rPr>
              <w:t>1</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Grazing</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ranch operations revenues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ranch operations expenses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from ranch operations</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Game management and other revenues consist of revenues from hunting, filming, High Desert Hunt Club (a premier upland bird hunting club), and other ancillary activities.</w:t>
            </w:r>
          </w:p>
        </w:tc>
      </w:tr>
    </w:tbl>
    <w:p>
      <w:pPr>
        <w:pStyle w:val="TextBody"/>
        <w:bidi w:val="0"/>
        <w:spacing w:lineRule="auto" w:line="288" w:before="100" w:after="283"/>
        <w:ind w:left="0" w:right="0" w:hanging="360"/>
        <w:jc w:val="left"/>
        <w:rPr/>
      </w:pPr>
      <w:r>
        <w:rPr>
          <w:color w:val="006EBF"/>
          <w:u w:val="single"/>
        </w:rPr>
        <w:t>•</w:t>
      </w:r>
      <w:r>
        <w:rPr>
          <w:rFonts w:ascii="Times New Roman;serif" w:hAnsi="Times New Roman;serif"/>
          <w:b w:val="false"/>
          <w:color w:val="000000"/>
          <w:sz w:val="20"/>
        </w:rPr>
        <w:t>Ranch operations revenues totaled $2,817,000 for the six months ended June 30, 2026, an increase of $430,000, or 18%, from $2,387,000 for the prior-year period. The increase was primarily attributed to a $231,000 increase in game management and other revenues, reflecting higher guided hunt and membership revenues, as well as a $199,000 increase in grazing revenues driven by more favorable cattle prices.</w:t>
      </w:r>
    </w:p>
    <w:p>
      <w:pPr>
        <w:pStyle w:val="TextBody"/>
        <w:bidi w:val="0"/>
        <w:spacing w:lineRule="auto" w:line="268" w:before="100" w:after="283"/>
        <w:ind w:left="0" w:right="0" w:hanging="360"/>
        <w:jc w:val="left"/>
        <w:rPr/>
      </w:pPr>
      <w:r>
        <w:rPr>
          <w:color w:val="000000"/>
        </w:rPr>
        <w:t>•</w:t>
      </w:r>
      <w:r>
        <w:rPr>
          <w:rFonts w:ascii="Times New Roman;serif" w:hAnsi="Times New Roman;serif"/>
          <w:b w:val="false"/>
          <w:color w:val="000000"/>
          <w:sz w:val="20"/>
        </w:rPr>
        <w:t>Ranch operations expenses were $2,506,000 for the six months ended June 30, 2026, a decrease of $102,000, or 4%, from $2,608,000 for the prior-year period. The decrease was primarily attributable to a $114,000 reduction in selling, general and administrative expenses, reflecting lower allocated overhead costs.</w:t>
      </w:r>
    </w:p>
    <w:p>
      <w:pPr>
        <w:pStyle w:val="TextBody"/>
        <w:bidi w:val="0"/>
        <w:spacing w:lineRule="auto" w:line="288" w:before="240" w:after="283"/>
        <w:jc w:val="left"/>
        <w:rPr>
          <w:rFonts w:ascii="Times New Roman;serif" w:hAnsi="Times New Roman;serif"/>
          <w:b/>
          <w:color w:val="006EBF"/>
          <w:sz w:val="20"/>
          <w:u w:val="single"/>
        </w:rPr>
      </w:pPr>
      <w:r>
        <w:rPr>
          <w:rFonts w:ascii="Times New Roman;serif" w:hAnsi="Times New Roman;serif"/>
          <w:b/>
          <w:color w:val="006EBF"/>
          <w:sz w:val="20"/>
          <w:u w:val="single"/>
        </w:rPr>
        <w:t>Corporate and Other:</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Corporate general and administrative costs were $2,839,000 for the three months ended June 30, 2026, a decrease of $2,061,000, from $4,900,000 for the prior-year period. The decrease was primarily driven by a $2,138,000 reduction in shareholder-related expenses, reflecting the non-recurrence of shareholder activism advisory costs incurred in the prior-year period. Excluding this item, corporate general and administrative expense was relatively flat, as a $400,000 decrease in compensation expense, primarily a $284,000 reduction in salaries and related payroll overhead, net of amounts transferred to project costs, reflecting cost savings from a streamlined workforce.</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Corporate general and administrative costs were $4,725,000 for the six months ended June 30, 2026, a decrease of $4,411,000, from $9,136,000 for the prior-year period. The decrease was primarily driven by a $3,115,000 reduction in shareholder-related expenses, reflecting the non-recurrence of shareholder activism advisory costs incurred in the prior-year period. Compensation expense decreased $1,795,000, driven in part by certain discrete items, including a $406,000 reduction in stock-based compensation resulting from the reversal of performance share awards that did not meet target performance conditions, the absence of a $300,000 bonus paid to the outgoing Chief Executive Officer in the prior-year period, and the reversal of approximately $300,000 of previously accrued bonuses due to lower-than-expected payouts. Excluding these items, compensation expense decreased approximately $789,000, primarily due to a $504,000 reduction in salaries, net of amounts transferred to project costs, reflecting cost savings from a streamlined workforce, and a $222,000 reduction in related payroll overhead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was $29,000 for the three months ended June 30, 2026, a decrease of $193,000 from $222,000 for the same period in 2025, primarily due to lower investment income as a result of a lower average invested balance.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income was $79,000 for the six months ended June 30, 2026, a decrease of $413,000 from $492,000 for the same period in 2025, primarily due to lower investment income as a result of a lower average invested balance.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for our multifamily segment was $516,000 for the three months ended June 30, 2026, an increase of $376,000 from $140,000 for the same period in 2025. Terra Vista was constructed in phases, and depreciation commenced on each building as it was completed and placed in service, beginning in the second quarter of 2025, with the final building delivered in October 2025. The increase therefore reflects a full quarter of depreciation on all completed buildings in 2026, compared with a partial period of depreciation on only the initial buildings in 2025.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Depreciation for our multifamily segment was $1,033,000 for the six months ended June 30, 2026, an increase of $893,000 from $140,000 for the same period in 2025. As discussed above, the buildings within Terra Vista were completed and placed in service in phases beginning in the second quarter of 2025, with the final building delivered in October 2025. The increase reflects a full six months of depreciation on all completed buildings in 2026, compared with depreciation on only the initial buildings from their respective in-service dates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color w:val="006EBF"/>
          <w:sz w:val="20"/>
          <w:u w:val="single"/>
        </w:rPr>
      </w:pPr>
      <w:r>
        <w:rPr>
          <w:rFonts w:ascii="Times New Roman;serif" w:hAnsi="Times New Roman;serif"/>
          <w:b/>
          <w:color w:val="006EBF"/>
          <w:sz w:val="20"/>
          <w:u w:val="single"/>
        </w:rPr>
        <w:t>Joint Ventures:</w:t>
      </w:r>
    </w:p>
    <w:tbl>
      <w:tblPr>
        <w:tblW w:w="7603" w:type="dxa"/>
        <w:jc w:val="center"/>
        <w:tblInd w:w="0" w:type="dxa"/>
        <w:tblLayout w:type="fixed"/>
        <w:tblCellMar>
          <w:top w:w="28" w:type="dxa"/>
          <w:left w:w="28" w:type="dxa"/>
          <w:bottom w:w="28" w:type="dxa"/>
          <w:right w:w="28" w:type="dxa"/>
        </w:tblCellMar>
      </w:tblPr>
      <w:tblGrid>
        <w:gridCol w:w="1031"/>
        <w:gridCol w:w="906"/>
        <w:gridCol w:w="913"/>
        <w:gridCol w:w="243"/>
        <w:gridCol w:w="710"/>
        <w:gridCol w:w="125"/>
        <w:gridCol w:w="125"/>
        <w:gridCol w:w="125"/>
        <w:gridCol w:w="125"/>
        <w:gridCol w:w="243"/>
        <w:gridCol w:w="710"/>
        <w:gridCol w:w="125"/>
        <w:gridCol w:w="109"/>
        <w:gridCol w:w="109"/>
        <w:gridCol w:w="109"/>
        <w:gridCol w:w="211"/>
        <w:gridCol w:w="466"/>
        <w:gridCol w:w="109"/>
        <w:gridCol w:w="109"/>
        <w:gridCol w:w="109"/>
        <w:gridCol w:w="109"/>
        <w:gridCol w:w="232"/>
        <w:gridCol w:w="234"/>
        <w:gridCol w:w="316"/>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in earnings (loss) </w:t>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Petro Travel Plaza Holdings, LLC</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TRCC/Rock Outlet Center LLC</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TRC-MRC 1, LLC</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TRC-MRC 2, LLC</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TRC-MRC 3, LLC</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TRC-MRC 4, LLC</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TRC-MRC 5, LLC</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in earnings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Equity in earnings was $3,100,000 for the three months ended June 30, 2026, an increase of $545,000, or 21%, from $2,555,000 for the prior-year period. The increase was primarily attributable to improved results at the TRCC/Rock Outlet Center LLC joint venture, where the equity loss narrowed by $274,000, due to the absence of a tenant turnover write-down recognized during the second quarter of 2025. Equity in earnings from the Petro Travel Plaza Holdings, LLC joint venture also increased by $119,000, primarily reflecting improved operating margins. In addition, the TRC-MRC joint ventures collectively reported higher equity in earnings, primarily reflecting improved operating performance.</w:t>
      </w:r>
    </w:p>
    <w:tbl>
      <w:tblPr>
        <w:tblW w:w="7410" w:type="dxa"/>
        <w:jc w:val="left"/>
        <w:tblInd w:w="0" w:type="dxa"/>
        <w:tblLayout w:type="fixed"/>
        <w:tblCellMar>
          <w:top w:w="28" w:type="dxa"/>
          <w:left w:w="28" w:type="dxa"/>
          <w:bottom w:w="28" w:type="dxa"/>
          <w:right w:w="28" w:type="dxa"/>
        </w:tblCellMar>
      </w:tblPr>
      <w:tblGrid>
        <w:gridCol w:w="1031"/>
        <w:gridCol w:w="906"/>
        <w:gridCol w:w="913"/>
        <w:gridCol w:w="224"/>
        <w:gridCol w:w="655"/>
        <w:gridCol w:w="116"/>
        <w:gridCol w:w="116"/>
        <w:gridCol w:w="116"/>
        <w:gridCol w:w="116"/>
        <w:gridCol w:w="224"/>
        <w:gridCol w:w="655"/>
        <w:gridCol w:w="116"/>
        <w:gridCol w:w="109"/>
        <w:gridCol w:w="109"/>
        <w:gridCol w:w="109"/>
        <w:gridCol w:w="211"/>
        <w:gridCol w:w="466"/>
        <w:gridCol w:w="109"/>
        <w:gridCol w:w="109"/>
        <w:gridCol w:w="109"/>
        <w:gridCol w:w="109"/>
        <w:gridCol w:w="233"/>
        <w:gridCol w:w="233"/>
        <w:gridCol w:w="316"/>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in earnings (loss) </w:t>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Petro Travel Plaza Holdings, LLC</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TRCC/Rock Outlet Center LLC</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TRC-MRC 1, LLC</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TRC-MRC 2, LLC</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TRC-MRC 3, LLC</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TRC-MRC 4, LLC</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TRC-MRC 5, LLC</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in earnings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Equity in earnings was $4,390,000 for the six months ended June 30, 2026, an increase of $677,000, or 18%, from $3,713,000 for the prior-year period. The increase was primarily attributable to improved results at the TRCC/Rock Outlet Center LLC joint venture, where the equity loss narrowed by $458,000, due to the absence of a tenant turnover write-down recognized during the second quarter of 2025. The increase also reflected an aggregate $217,000 increase in equity in earnings from the TRC-MRC joint ventures, while equity in earnings from Petro Travel Plaza Holdings, LLC was essentially unchanged from the prior-year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Please refer to "Non-GAAP Financial Measures" for further financial discussion of the results of our joint ventures.</w:t>
      </w:r>
    </w:p>
    <w:p>
      <w:pPr>
        <w:pStyle w:val="TextBody"/>
        <w:bidi w:val="0"/>
        <w:spacing w:lineRule="auto" w:line="288" w:before="100" w:after="283"/>
        <w:jc w:val="left"/>
        <w:rPr>
          <w:rFonts w:ascii="Times New Roman;serif" w:hAnsi="Times New Roman;serif"/>
          <w:b/>
          <w:color w:val="006EBF"/>
          <w:sz w:val="20"/>
          <w:u w:val="single"/>
        </w:rPr>
      </w:pPr>
      <w:r>
        <w:rPr>
          <w:rFonts w:ascii="Times New Roman;serif" w:hAnsi="Times New Roman;serif"/>
          <w:b/>
          <w:color w:val="006EBF"/>
          <w:sz w:val="20"/>
          <w:u w:val="single"/>
        </w:rPr>
        <w:t>General Outlook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operations are seasonal in nature, and accordingly, results for interim periods are not necessarily indicative of results to be expected for the full fiscal year. Historically, a substantial portion of our farming revenues has been generated during the third and fourth quarters of the fiscal year due to the timing of harvests and crop sales. In contrast, non-contracted water sales typically occur in the first quarter of the fiscal year and may vary significantly depending on hydrological conditions. In periods of drought, demand for water may increase, resulting in higher water sales, whereas wetter conditions may reduce demand.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our real estate development, sales, and leasing activities are inherently variable and depend on market conditions, the timing of transactions, and the availability of suitable opportunities. As a result, revenues and operating results related to these activities may fluctuate significantly from period to period, making comparisons between interim periods less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further discussion of the risks and uncertainties that could potentially adversely affect us, please refer to Part I, Item 7 – “Management’s Discussion and Analysis of Financial Condition and Results of Operations” in our Annual Report on Form 10-K for the year ended December 31, 2025, or Annual Report, and to Part I, Item 1A - "Risk Factors" of our Annual Report. For further discussion, please refer to Note 11 (Commitments and Contingencies) of the Notes to Unaudited Consolidated Financial Statements in this report.</w:t>
      </w:r>
    </w:p>
    <w:p>
      <w:pPr>
        <w:pStyle w:val="TextBody"/>
        <w:bidi w:val="0"/>
        <w:spacing w:lineRule="auto" w:line="288" w:before="100" w:after="283"/>
        <w:jc w:val="left"/>
        <w:rPr>
          <w:rFonts w:ascii="Times New Roman;serif" w:hAnsi="Times New Roman;serif"/>
          <w:b/>
          <w:color w:val="006EBF"/>
          <w:sz w:val="20"/>
          <w:u w:val="single"/>
        </w:rPr>
      </w:pPr>
      <w:r>
        <w:rPr>
          <w:rFonts w:ascii="Times New Roman;serif" w:hAnsi="Times New Roman;serif"/>
          <w:b/>
          <w:color w:val="006EBF"/>
          <w:sz w:val="20"/>
          <w:u w:val="single"/>
        </w:rPr>
        <w:t>Income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had an income tax expense of $902,000 compared to a benefit of $837,000 for the six months ended June 30, 2025. The effective tax rates were 24% and 21% for the six months ended June 30, 2026 and 2025, respectively. As of June 30, 2026, the Company had income taxes receivable of $590,000. We classify interest and penalties incurred on tax payments as income tax expenses. Our effective tax rates differ from statutory rates primarily because of permanent differences related to Internal Revenue Code Section 162(m), state taxes and mineral depletion. The Internal Revenue Code Section 162(m) compensation deduction limitations occurred due to changes in tax law arising from the 2017 Tax Cuts and Jobs Act.</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6EBF"/>
          <w:sz w:val="20"/>
        </w:rPr>
      </w:pPr>
      <w:r>
        <w:rPr>
          <w:rFonts w:ascii="Times New Roman;serif" w:hAnsi="Times New Roman;serif"/>
          <w:b/>
          <w:color w:val="006EBF"/>
          <w:sz w:val="20"/>
        </w:rPr>
        <w:t>Liquidity and Capital Resources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financial position allows us to pursue our long-term strategies, including the continued development of TRCC, funding of operating activities, land entitlement, real estate development, and conservation. Accordingly, we have established priorities for the deployment of available capital, including investing in core operating segments to support long-term profitable growth. Our primary sources of liquidity include cash generated from operations, distributions from our unconsolidated joint ventures, investment proceeds, and borrowings under our revolving credit facilities. In the past, we have also issued common stock to fund capital investment activities. Our liquidity may fluctuate throughout the year due to seasonal production cycles within our farming segment, weather conditions, and market demand for our agricultural and real estate products. To meet working capital requirements and fund agricultural and development activities, we utilize our revolving credit facilities as needed.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expect to continue investing in the vertical development of our commercial and industrial real estate projects. We also expect to invest in our real estate segments to secure land entitlement approvals, construct infrastructure, develop income-producing assets, maintain adequate water resources, and support other development activities. Within our farming segment, we will continue to invest in projects that improve operating efficiency and enhance long-term productivity when economically justified. During 2026, we planted an additional 150 acres of olive orchards, bringing total olive acreage to approximately 300 acres. While the newly planted acreage is not expected to generate meaningful revenues for several years, the investment is intended to further diversify the Company's agricultural commodity mix and support long-term production.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believe our existing cash balances, projected cash flows from operations, distributions from joint ventures, and available borrowing capacity under our revolving credit facility will be sufficient to meet our anticipated capital expenditures, debt service obligations, and working capital requirements for at least the next 12 months. We also expect cash flows from operations, joint venture distributions, and available borrowing capacity to provide ongoing liquidity beyond the next 12 months. In addition, we have the ability to manage the timing of certain capital expenditures and other investing activities, as necessary, to align with our liquidity requirements.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cash, cash equivalents and marketable securities totaled approximately $15,057,000 as of June 30, 2026, a decrease of $9,837,000 from $24,894,000 as of December 31,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our cash flow activities for the six months ended June 30, 2026: </w:t>
      </w:r>
    </w:p>
    <w:tbl>
      <w:tblPr>
        <w:tblW w:w="4453" w:type="dxa"/>
        <w:jc w:val="left"/>
        <w:tblInd w:w="0" w:type="dxa"/>
        <w:tblLayout w:type="fixed"/>
        <w:tblCellMar>
          <w:top w:w="28" w:type="dxa"/>
          <w:left w:w="28" w:type="dxa"/>
          <w:bottom w:w="28" w:type="dxa"/>
          <w:right w:w="28" w:type="dxa"/>
        </w:tblCellMar>
      </w:tblPr>
      <w:tblGrid>
        <w:gridCol w:w="630"/>
        <w:gridCol w:w="554"/>
        <w:gridCol w:w="556"/>
        <w:gridCol w:w="109"/>
        <w:gridCol w:w="211"/>
        <w:gridCol w:w="796"/>
        <w:gridCol w:w="109"/>
        <w:gridCol w:w="109"/>
        <w:gridCol w:w="109"/>
        <w:gridCol w:w="109"/>
        <w:gridCol w:w="211"/>
        <w:gridCol w:w="796"/>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first six months of 2026, our operations provided $4,610,000, largely attributable to improved segment results and higher distribution of earnings from unconsolidated joint ventures. </w:t>
      </w:r>
    </w:p>
    <w:p>
      <w:pPr>
        <w:pStyle w:val="TextBody"/>
        <w:bidi w:val="0"/>
        <w:spacing w:lineRule="auto" w:line="288" w:before="100" w:after="283"/>
        <w:jc w:val="left"/>
        <w:rPr/>
      </w:pPr>
      <w:r>
        <w:rPr>
          <w:rFonts w:ascii="Times New Roman;serif" w:hAnsi="Times New Roman;serif"/>
          <w:b w:val="false"/>
          <w:color w:val="000000"/>
          <w:sz w:val="20"/>
        </w:rPr>
        <w:t>During the first six months of 2025, our operations used $1,726,000, largely attributable to cash used to settle our current liabilities balance including liability classified stock compensation awards of $1,831,000.</w:t>
      </w:r>
      <w:r>
        <w:rPr>
          <w:color w:val="000000"/>
          <w:shd w:fill="FFFFFF" w:val="clear"/>
        </w:rPr>
        <w:t xml:space="preserve"> </w:t>
      </w:r>
    </w:p>
    <w:p>
      <w:pPr>
        <w:pStyle w:val="TextBody"/>
        <w:bidi w:val="0"/>
        <w:spacing w:before="100" w:after="283"/>
        <w:jc w:val="left"/>
        <w:rPr/>
      </w:pPr>
      <w:r>
        <w:rPr/>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Investing Activities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first six months of 2026, investing activities used $11,217,000. The decrease in cash used for investing activities is primarily related to the completed construction of Terra Vista at Tejon project.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made capital expenditures, inclusive of capitalized interest and payroll (exclusive of stock compensation), of $12,437,230 in the first six months of 2026. These expenditures include $3,674,000 on infrastructure improvements at TRCC-East, $1,229,000 and $1,738,000 on permitting efforts for MV and Grapevine, respectively, and $2,444,000 on re-entitlement costs for Centennial.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Discretionary project expenditures decreased by approximately $485,000, or 18%, compared to the prior-year period, reflecting targeted spending on priority initiatives. Of the $2,444,000 incurred for Centennial, approximately $833,000 related to direct re-entitlement process. Excluding Centennial-related expenditures, discretionary project expenditures decreased by approximately $24,000, or 1.9%, compared to the prior-year period, consistent with our ongoing focus on liquidity management and cost discipline.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continue to actively manage capital deployment across projects, prioritizing required entitlement preservation and legal obligations while reducing discretionary development expenditures. We expect permitting-related expenditures for MV to remain at reduced levels unless development activity accelerates.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Within our farming segment, we incurred cash outlays of $3,165,000, including $1,327,000 related to olive production, as well as cultural costs for crops currently classified as under development, and replacement of machinery and equipment. During the period, the farming segment capitalized approximately $470,000 of irrigation water costs related to crops under development, as those costs are attributable to orchards that have not yet reached commercial production. Additionally, we used $5,842,000 to acquire water assets. We had marketable securities of $9,566,000 that matured, and we reinvested $5,416,000.</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first six months of 2025, investing activities used $49,551,000. We made capital expenditures, inclusive of capitalized interest and payroll (exclusive of stock compensation), of $37,146,000 for real estate development. At TRCC, we spent $22,850,000 of construction cost on Terra Vista at Tejon and $5,663,000 on infrastructure improvements at TRCC-East. We also spent $1,469,000 and $1,073,000 on permitting efforts for MV and Grapevine, respectively, and $1,863,000 on litigation defense for Centennial. Within our farming segment, we spent $3,752,000, which included cultural costs for orchards currently classified as under development and replacement of machinery and equipment. Additionally, we used $9,519,000 to acquire water assets. We had marketable securities of $23,655,000 that matured, and we reinvested $26,652,000. Lastly, we received proceeds of $310,000 from joint venture distributions.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we move forward, we anticipate we will continue to use cash from operations, proceeds from the maturity of securities, and anticipated distributions from joint ventures to fund real estate project investments, including the investments summarized below.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estimated capital investment, inclusive of capitalized interest and payroll, for the remainder of 2026 is primarily related to our real estate projects. These estimated investments include $8,870,000 of infrastructure development at TRCC-East to support the continued commercial retail and industrial development, water treatment system improvements, and expansion of the wastewater treatment plant for future anticipated absorption, a substantial portion of which is expected to be reimbursed through the CFD bond proceeds. We also expect to invest up to $7,112,000 for land planning, re-entitlement, federal and state agency permitting activities, and development activities at MV, Centennial, and Grapevine during the remainder of 2026.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capitalize interest cost as a cost of the project only during the period for which activities necessary to prepare an asset for its intended use are ongoing, provided expenditures for the asset have been made and interest cost has been incurred. Capitalized interest for the six months ended June 30, 2026 and 2025, was $1,996,000 and $1,961,000, respectively, and is classified within real estate development. We also capitalized payroll costs related to development, pre-construction, and construction projects, which aggregated $855,000 and $1,098,000 for the six months ended June 30, 2026 and 2025, respectively. Expenditures for repairs and maintenance are expensed as incurred.</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first six months of 2026, financing activities provided $953,000, which was primarily attributable to borrowings on the line of credit of $2,000,000 to fund the cash needs of various segments as well as our ongoing development projects. This was partially offset by the tax payments on vested share grants of $1,047,000.</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first six months of 2025, financing activities provided $14,510,000, which was attributable to borrowings on the line of credit of $15,000,000 to fund construction projects and other ongoing development such as Terra Vista and TRCC infrastructure, partially offset by the tax payments on vested share grants of $490,000.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Cash flows and earnings may fluctuate from period to period due to the commodity-driven nature of our farming and mineral operations and the timing of sales and leasing activity within our development projects. Some farming crops, notably pistachios, bear in alternate years which results in reduced revenues for those years. Development timelines, market conditions, and the time required to negotiate transactions can cause variability in reported results across periods. Often, the timing aspect of land development can lead to particular years or periods having more or less earnings than comparable periods. Based on current projections and available liquidity, management expects to maintain sufficient cash resources to fund internal operations over the next 12 months. As we move forward with the re-entitlement, permitting and engineering design for our master planned communities and prepare to move into the development stage, we may need to secure additional funding in the long-term through either the issuance of equity and/or by securing other forms of financing such as joint ventures equity and debt financing.</w:t>
      </w:r>
    </w:p>
    <w:p>
      <w:pPr>
        <w:pStyle w:val="TextBody"/>
        <w:bidi w:val="0"/>
        <w:spacing w:lineRule="auto" w:line="288" w:before="100" w:after="283"/>
        <w:jc w:val="left"/>
        <w:rPr>
          <w:rFonts w:ascii="Times New Roman;serif" w:hAnsi="Times New Roman;serif"/>
          <w:b/>
          <w:color w:val="006EBF"/>
          <w:sz w:val="20"/>
        </w:rPr>
      </w:pPr>
      <w:r>
        <w:rPr>
          <w:rFonts w:ascii="Times New Roman;serif" w:hAnsi="Times New Roman;serif"/>
          <w:b/>
          <w:color w:val="006EBF"/>
          <w:sz w:val="20"/>
        </w:rPr>
        <w:t xml:space="preserve">Capital Structure and Financial Condition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June 30, 2026, total capitalization at book value was $588,855,000, consisting of $95,942,000 of debt and $492,913,000 of equity, resulting in a debt-to-total-capitalization ratio of approximately 16.3%, representing an increase compared to the debt-to-total-capitalization ratio of 14.4% at June 30, 2025.</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November 17, 2023, we entered into a Credit Agreement with AgWest Farm Credit, PCA, as administrative agent and letter of credit intermediary (Administrative Agent), and certain other lenders, collectively, the Revolving Credit Facility. The Revolving Credit Facility provides TRC with (i) a revolving credit line (RCL) in the amount of $160,000,000 and (ii) the option for TRC to utilize a letter of credit sub-facility in the amount of $15,000,000 (LOC Sub-Facility). The LOC Sub-Facility is part of, and not in addition to, the RCL. As further summarized below, the RCL requires interest only payments and has a maturity date of January 1, 2029.</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Upon closing of the Revolving Credit Facility, funds from the RCL were used to pay off and close out the existing Bank of America, N.A. Term Note (the Bank of America Term Note) and Revolving Line of Credit Note. The amount of this pay off was $47,078,564 plus accrued interest and fees on the Bank of America Term Note. We evaluated the debt exchange under Accounting Standards Codification (ASC) 470 and determined that the exchange should be treated as a debt extinguishment. Future borrowings under the Revolving Credit Facility will be used for ongoing working capital requirements, including to fund future construction projects, farming and ranching operations, and other general corporate purposes.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To maintain availability of funds, undrawn amounts under the RCL will accrue an unused fee of 15 basis points per annum except that, for the LOC Sub-Facility, TRC will incur a fee of 2.00% per annum for each letter of credit issued to TRC. TRC’s ability to borrow/draw additional funds is subject to compliance with certain financial and other covenants, some of which are further described below, and the continuing accuracy of certain representations and warranties contained in the Revolving Credit Facility. Currently, there are no letters of credit outstanding.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interest rate per annum applicable to the Revolving Credit Facility is one-month term SOFR plus an interest rate spread that is based on TRC’s consolidated net liabilities to equity ratio (NLER). The interest rate spread for the NLER has three tiers: (1) 2.75% if the NLER is 55% or more; (2) 2.5% if the NLER is between 35% and less than 55%; and (3) 2.25% if the NLER is less than 35%. The interest rate spread in the previous sentence may effectively be reduced by applying a patronage credit for TRC’s participation in the farm credit program, which patronage credit historically has been (for reference and information purposes only and not as a guarantee of future patronage credit) between 100-125 basis points. The Administrative Agent pays the patronage credit annually in the form of a dividend. As of June 30, 2026, the Company's NLER was in tier 3, or less than 35%, and the applicable interest rate spread was 2.25%. We received partial patronage credit in February 2026 of $646,000 which represents 125 basis points from the primary lender, and the remaining patronage credit in March 2026 for $310,000 which represents 100 basis points from the other participating lenders.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Revolving Credit Facility requires the payment of interest only during the term, at which point the full drawn amount, plus accrued interest, must be repaid by the maturity date, if TRC has not earlier repaid the borrowed amount or extended the maturity date. The RCL may be repaid in part, or in full, by TRC at any time during the term without penalty. Certain events of default (as described in the Revolving Credit Facility) allow acceleration of repayment of borrowed funds, interest and other fees. The Revolving Credit Facility is unsecured, but the agreement provides the Administrative Agent a springing lien on TRC’s wholly owned, unencumbered assets, exclusive of assets subject to negative pledge, if one or more covenants is breached.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Revolving Credit Facility requires compliance with three financial covenants: (a) total liabilities divided by tangible net worth not greater than 0.55 to 1.00 at each year end; (b) a debt service coverage ratio not less than 1.50 to 1.00 as of each year end on a rolling four quarter basis; and (c) a liquidity ratio not less than 2.00 to 1.00 at each year 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Revolving Credit Facility also contains customary negative covenants that limit our ability to, among other things, make capital expenditures, incur indebtedness and issue guaranties, consummate certain asset sales, acquisitions or mergers, make investments, pay dividends or repurchase stock, make a change in capital ownership, or incur liens on any assets.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Revolving Credit Facility contains customary events of default, including: failure to make required payments; failure to comply with terms of the Credit Facility; bankruptcy and insolvency. The Credit Facility contains other customary terms and conditions, including representations and warranties, which are typical for credit facilities of this type.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we were in compliance with all financial covenants.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current and future capital resource requirements will be provided primarily from current cash and marketable securities, cash flow from ongoing operations, distributions from joint ventures, proceeds from the sale of developed and undeveloped land parcels, potential sales of assets, additional use of debt or drawdowns against our line of credit, proceeds from the reimbursement of public infrastructure costs through CFD bond debt (described below under “Off-Balance Sheet Arrangements”), and/or issuance of additional common stock.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May 2025, we filed an updated shelf registration statement on Form S-3 that went effective in May 2025. Under the shelf registration statement, we may offer and sell in the future through one or more offerings not to exceed $200,000,000 of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our funding needs.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noted above, at June 30, 2026 we had $15,057,000 in cash and securities and $64,058,000 available on our RLC to meet any short-term liquidity needs. See Note 3 (Marketable Securities) and Note 7 (Line of Credit and Long-Term Debt) of the Notes to Unaudited Consolidated Financial Statements for more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continue to expect that substantial investments will be required to develop our land assets. To meet these capital requirements, we may need to secure additional debt financing and continue to renew our existing credit facilities. In addition to debt financing, we will use other capital alternatives, such as joint ventures with financial partners, sales of assets, and/or the issuance of common stock. As we progress through 2026, we will be evaluating various options for funding the potential start of development projects. There is no assurance that we can obtain financing or that we can obtain financing at favorable terms.</w:t>
      </w:r>
    </w:p>
    <w:p>
      <w:pPr>
        <w:pStyle w:val="TextBody"/>
        <w:bidi w:val="0"/>
        <w:spacing w:lineRule="auto" w:line="288" w:before="100" w:after="283"/>
        <w:jc w:val="left"/>
        <w:rPr>
          <w:rFonts w:ascii="Times New Roman;serif" w:hAnsi="Times New Roman;serif"/>
          <w:b/>
          <w:color w:val="006EBF"/>
          <w:sz w:val="20"/>
        </w:rPr>
      </w:pPr>
      <w:r>
        <w:rPr>
          <w:rFonts w:ascii="Times New Roman;serif" w:hAnsi="Times New Roman;serif"/>
          <w:b/>
          <w:color w:val="006EBF"/>
          <w:sz w:val="20"/>
        </w:rPr>
        <w:t>Contractual Cash Obligations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contractual cash obligations and commercial commitments as of June 30, 2026, to be paid over the next five years and thereafter:</w:t>
      </w:r>
    </w:p>
    <w:tbl>
      <w:tblPr>
        <w:tblW w:w="10205" w:type="dxa"/>
        <w:jc w:val="center"/>
        <w:tblInd w:w="0" w:type="dxa"/>
        <w:tblLayout w:type="fixed"/>
        <w:tblCellMar>
          <w:top w:w="28" w:type="dxa"/>
          <w:left w:w="28" w:type="dxa"/>
          <w:bottom w:w="28" w:type="dxa"/>
          <w:right w:w="28" w:type="dxa"/>
        </w:tblCellMar>
      </w:tblPr>
      <w:tblGrid>
        <w:gridCol w:w="736"/>
        <w:gridCol w:w="455"/>
        <w:gridCol w:w="443"/>
        <w:gridCol w:w="238"/>
        <w:gridCol w:w="1103"/>
        <w:gridCol w:w="123"/>
        <w:gridCol w:w="123"/>
        <w:gridCol w:w="123"/>
        <w:gridCol w:w="123"/>
        <w:gridCol w:w="256"/>
        <w:gridCol w:w="876"/>
        <w:gridCol w:w="132"/>
        <w:gridCol w:w="123"/>
        <w:gridCol w:w="123"/>
        <w:gridCol w:w="123"/>
        <w:gridCol w:w="238"/>
        <w:gridCol w:w="934"/>
        <w:gridCol w:w="123"/>
        <w:gridCol w:w="123"/>
        <w:gridCol w:w="123"/>
        <w:gridCol w:w="123"/>
        <w:gridCol w:w="238"/>
        <w:gridCol w:w="815"/>
        <w:gridCol w:w="123"/>
        <w:gridCol w:w="123"/>
        <w:gridCol w:w="123"/>
        <w:gridCol w:w="123"/>
        <w:gridCol w:w="238"/>
        <w:gridCol w:w="1103"/>
        <w:gridCol w:w="123"/>
        <w:gridCol w:w="123"/>
        <w:gridCol w:w="123"/>
        <w:gridCol w:w="186"/>
      </w:tblGrid>
      <w:tr>
        <w:trPr/>
        <w:tc>
          <w:tcPr>
            <w:tcW w:w="7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Payments Due by Period</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One Year or Less</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4-5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Thereafter</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Obligations:</w:t>
            </w:r>
          </w:p>
        </w:tc>
        <w:tc>
          <w:tcPr>
            <w:tcW w:w="1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Estimated water payments </w:t>
            </w:r>
            <w:r>
              <w:rPr>
                <w:rFonts w:ascii="Times New Roman;serif" w:hAnsi="Times New Roman;serif"/>
                <w:b w:val="false"/>
                <w:color w:val="000000"/>
                <w:sz w:val="13"/>
              </w:rPr>
              <w:t>1</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1,518,456 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1,453,600 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line-of-credit</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contract commitments</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Defined Benefit Plan </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SERP</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obligations</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1,641,108 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127,755 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1,459,127 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Amount represents Nickel Family water contract payments through 2044 and SWP contract payments through 2085, assuming 3% of escalation on payment each year. For the most significant component, the WRMWSD contract payment, we used an average of the actual water payments for the past five years (2021-2025) as base year, or $5.37 million, escalating 3% each year, to derive at the number disclosed.</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table above includes only those contracts that include fixed or minimum obligations. It does not include normal purchases that are made in the ordinary course of business.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Estimated water payments include the Nickel Family, LLC water contract, which obligates us to purchase 6,693 acre-feet of water annually through 2044 and SWP contracts with WRMWSD, TCWD, Tulare Lake Basin Water Storage District, and Dudley-Ridge Water Storage District. These contracts for the supply of future water run through 2085. Please refer to Note 5 (Long-Term Water Assets) of the Notes to Consolidated Financial Statements for additional information regarding water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estimated fees earned in 2014 by a consultant, related to the entitlement of the Grapevine Development Area. The Company exited a consulting contract in 2014 related to the Grapevine Development and is obligated to pay an earned incentive fee at the time of successful receipt of all project permits and entitlements and at a value measurement date five years after entitlements have been achieved for Grapevine. The final amount of the incentive fees will not be finalized until the future payment dates. The Company believes that net savings from exiting the contract over this future time period will more than offset the incentive payment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discussed in Note 12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us to the plan trust, estimates of payments to employees from the plan trust, and estimates of future payments to employees from us that are in the SERP program. We don't expect to make contributions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6EBF"/>
          <w:sz w:val="20"/>
        </w:rPr>
      </w:pPr>
      <w:r>
        <w:rPr>
          <w:rFonts w:ascii="Times New Roman;serif" w:hAnsi="Times New Roman;serif"/>
          <w:b/>
          <w:color w:val="006EBF"/>
          <w:sz w:val="20"/>
        </w:rPr>
        <w:t>Off-Balance Sheet Arrangements</w:t>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The TRPFFA is a joint powers authority formed by Kern County and TCWD to finance public infrastructure within our Kern County developments. TRPFFA created two CFD's, the West CFD and the East CFD. The West CFD has placed liens on 420 acres of land to secure payment of special taxes related to $19,540,000 of outstanding bond debt sold by TRPFFA for TRCC-West. The East CFD has placed liens on 1,931 acres of our land to secure payments of special taxes related to $95,660,000 of outstanding bond debt sold by TRPFFA for TRCC-East. At TRCC-West, the West CFD has no additional bond debt approved for issuance. On July 25, 2024, TRPFFA sold bonds which will provide approximately $25,000,000 of improvement funds for the reimbursement of public infrastructure costs at TRCC-East. At TRCC-East, the East CFD has approximately $18,605,000 of additional bond debt authorized by TRPFFA.</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aggregate outstanding debt of unconsolidated joint ventures was $213,445,000; $19,899,000 of this debt was attributable to the loan for TRCC/Rock Outlet Center LLC joint venture. This loan was 100% guaranteed at June 30, 2026. All other outstanding debt attributed to our joint ventures have met their respective debt covenants, and hence were not subject to an effective guarantee at June 30, 2026. We do not provide a guarantee on the $10,649,000 of debt related to our joint venture with TA/Petro.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color w:val="006EBF"/>
          <w:sz w:val="20"/>
        </w:rPr>
      </w:pPr>
      <w:r>
        <w:rPr>
          <w:rFonts w:ascii="Times New Roman;serif" w:hAnsi="Times New Roman;serif"/>
          <w:b/>
          <w:color w:val="006EBF"/>
          <w:sz w:val="20"/>
        </w:rPr>
        <w:t>Non-GAAP Financial Measures</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EBITDA represents earnings before interest, taxes, depreciation, and amortization, a non-GAAP financial measure, and is used by us and others as a supplemental measure of performance. We use Adjusted EBITDA to assess the performance of our core operations, for financial and operational decision making, and as a supplemental or additional means of evaluating period-to-period comparisons on a consistent basis. Adjusted EBITDA is calculated as EBITDA, excluding stock compensation expense and certain identified non-recurring items that are not indicative of our on-going operations or that may obscure our underlying results and trends. We believe EBITDA and Adjusted EBITDA provide investors relevant and useful information, when reconciled to their most comparable GAAP financial measure, because they permit investors to view income from our operations on an unleveraged basis, before the effects of taxes, depreciation and amortization, and stock compensation expense and other items impacting comparability.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In addition, the Company excludes certain items impacting comparability, such as shareholder activism advisory costs to provide investors with a clearer understanding of the Company’s core operating performance across periods.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(loss) income or cash flows from operations as defined by GAAP. Further, our computation of EBITDA and Adjusted EBITDA may not be comparable to similar measures reported by other companies. The following table reconciles EBITDA and Adjusted EBITDA to Net income, the most directly comparable GAAP measure.</w:t>
      </w:r>
    </w:p>
    <w:tbl>
      <w:tblPr>
        <w:tblW w:w="10205" w:type="dxa"/>
        <w:jc w:val="left"/>
        <w:tblInd w:w="0" w:type="dxa"/>
        <w:tblLayout w:type="fixed"/>
        <w:tblCellMar>
          <w:top w:w="28" w:type="dxa"/>
          <w:left w:w="28" w:type="dxa"/>
          <w:bottom w:w="28" w:type="dxa"/>
          <w:right w:w="28" w:type="dxa"/>
        </w:tblCellMar>
      </w:tblPr>
      <w:tblGrid>
        <w:gridCol w:w="1733"/>
        <w:gridCol w:w="1526"/>
        <w:gridCol w:w="1494"/>
        <w:gridCol w:w="211"/>
        <w:gridCol w:w="631"/>
        <w:gridCol w:w="109"/>
        <w:gridCol w:w="109"/>
        <w:gridCol w:w="109"/>
        <w:gridCol w:w="109"/>
        <w:gridCol w:w="211"/>
        <w:gridCol w:w="670"/>
        <w:gridCol w:w="109"/>
        <w:gridCol w:w="109"/>
        <w:gridCol w:w="109"/>
        <w:gridCol w:w="109"/>
        <w:gridCol w:w="211"/>
        <w:gridCol w:w="736"/>
        <w:gridCol w:w="109"/>
        <w:gridCol w:w="109"/>
        <w:gridCol w:w="109"/>
        <w:gridCol w:w="109"/>
        <w:gridCol w:w="211"/>
        <w:gridCol w:w="670"/>
        <w:gridCol w:w="109"/>
        <w:gridCol w:w="109"/>
        <w:gridCol w:w="109"/>
        <w:gridCol w:w="109"/>
        <w:gridCol w:w="157"/>
      </w:tblGrid>
      <w:tr>
        <w:trPr/>
        <w:tc>
          <w:tcPr>
            <w:tcW w:w="1733"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4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share of interest expense from unconsolidated joint ventures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net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provision (benefit)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share of depreciation and amortization from unconsolidated joint ventures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Items impacting comparability: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Shareholder activism expense </w:t>
            </w:r>
            <w:r>
              <w:rPr>
                <w:rFonts w:ascii="Times New Roman;serif" w:hAnsi="Times New Roman;serif"/>
                <w:b w:val="false"/>
                <w:color w:val="000000"/>
                <w:sz w:val="13"/>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5,743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13,172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8,580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721" w:type="dxa"/>
            <w:gridSpan w:val="24"/>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Represents advisory fees related to the contested board election and proxy defense.</w:t>
            </w:r>
          </w:p>
        </w:tc>
        <w:tc>
          <w:tcPr>
            <w:tcW w:w="484"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 The following tables reconcile operating income to NOI.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segment reporting change described in Note 13 (Reporting Segments and Related Information), under which multifamily operations are presented as a separate reporting segment, net operating income for the prior-year periods has been recast to exclude the results of the multifamily operations previously included within the commercial/industrial real estate development segment. As a result, commercial/industrial net operating income for the three and six months ended June 30, 2025 presented herein differs from the amounts previously reported in our Quarterly Report on Form 10-Q for the period ended June 30, 2025.</w:t>
      </w:r>
    </w:p>
    <w:tbl>
      <w:tblPr>
        <w:tblW w:w="10205" w:type="dxa"/>
        <w:jc w:val="center"/>
        <w:tblInd w:w="0" w:type="dxa"/>
        <w:tblLayout w:type="fixed"/>
        <w:tblCellMar>
          <w:top w:w="28" w:type="dxa"/>
          <w:left w:w="28" w:type="dxa"/>
          <w:bottom w:w="28" w:type="dxa"/>
          <w:right w:w="28" w:type="dxa"/>
        </w:tblCellMar>
      </w:tblPr>
      <w:tblGrid>
        <w:gridCol w:w="1787"/>
        <w:gridCol w:w="1562"/>
        <w:gridCol w:w="1569"/>
        <w:gridCol w:w="212"/>
        <w:gridCol w:w="636"/>
        <w:gridCol w:w="109"/>
        <w:gridCol w:w="109"/>
        <w:gridCol w:w="109"/>
        <w:gridCol w:w="109"/>
        <w:gridCol w:w="212"/>
        <w:gridCol w:w="636"/>
        <w:gridCol w:w="109"/>
        <w:gridCol w:w="109"/>
        <w:gridCol w:w="109"/>
        <w:gridCol w:w="109"/>
        <w:gridCol w:w="211"/>
        <w:gridCol w:w="631"/>
        <w:gridCol w:w="109"/>
        <w:gridCol w:w="109"/>
        <w:gridCol w:w="109"/>
        <w:gridCol w:w="109"/>
        <w:gridCol w:w="211"/>
        <w:gridCol w:w="631"/>
        <w:gridCol w:w="109"/>
        <w:gridCol w:w="109"/>
        <w:gridCol w:w="109"/>
        <w:gridCol w:w="109"/>
        <w:gridCol w:w="163"/>
      </w:tblGrid>
      <w:tr>
        <w:trPr/>
        <w:tc>
          <w:tcPr>
            <w:tcW w:w="178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4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1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Commercial/Industrial operating income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Commercial/Industrial depreciation and amortization</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General, administrative, cost of sales and other expenses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revenues including land sales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Commercial/Industrial net operating income</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tbl>
      <w:tblPr>
        <w:tblW w:w="10103" w:type="dxa"/>
        <w:jc w:val="left"/>
        <w:tblInd w:w="0" w:type="dxa"/>
        <w:tblLayout w:type="fixed"/>
        <w:tblCellMar>
          <w:top w:w="28" w:type="dxa"/>
          <w:left w:w="28" w:type="dxa"/>
          <w:bottom w:w="28" w:type="dxa"/>
          <w:right w:w="28" w:type="dxa"/>
        </w:tblCellMar>
      </w:tblPr>
      <w:tblGrid>
        <w:gridCol w:w="1600"/>
        <w:gridCol w:w="1407"/>
        <w:gridCol w:w="1418"/>
        <w:gridCol w:w="240"/>
        <w:gridCol w:w="717"/>
        <w:gridCol w:w="124"/>
        <w:gridCol w:w="124"/>
        <w:gridCol w:w="124"/>
        <w:gridCol w:w="124"/>
        <w:gridCol w:w="240"/>
        <w:gridCol w:w="717"/>
        <w:gridCol w:w="124"/>
        <w:gridCol w:w="109"/>
        <w:gridCol w:w="109"/>
        <w:gridCol w:w="109"/>
        <w:gridCol w:w="221"/>
        <w:gridCol w:w="662"/>
        <w:gridCol w:w="114"/>
        <w:gridCol w:w="114"/>
        <w:gridCol w:w="114"/>
        <w:gridCol w:w="114"/>
        <w:gridCol w:w="221"/>
        <w:gridCol w:w="662"/>
        <w:gridCol w:w="114"/>
        <w:gridCol w:w="109"/>
        <w:gridCol w:w="109"/>
        <w:gridCol w:w="109"/>
        <w:gridCol w:w="154"/>
      </w:tblGrid>
      <w:tr>
        <w:trPr/>
        <w:tc>
          <w:tcPr>
            <w:tcW w:w="160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income</w:t>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Pastoria Energy Facility</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TRCC</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 leases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 leases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Commercial/Industrial net operating income</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1,944</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1,911</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3,908</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3,842</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We utilize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schedule reconciles net income of unconsolidated joint ventures to NOI of unconsolidated joint ventures. Please refer to Note 14 (Investment in Unconsolidated and Consolidated Joint Ventures) of the Notes to Unaudited Consolidated Financial Statements for further discussion on joint ventures.</w:t>
      </w:r>
    </w:p>
    <w:tbl>
      <w:tblPr>
        <w:tblW w:w="10205" w:type="dxa"/>
        <w:jc w:val="left"/>
        <w:tblInd w:w="0" w:type="dxa"/>
        <w:tblLayout w:type="fixed"/>
        <w:tblCellMar>
          <w:top w:w="28" w:type="dxa"/>
          <w:left w:w="28" w:type="dxa"/>
          <w:bottom w:w="28" w:type="dxa"/>
          <w:right w:w="28" w:type="dxa"/>
        </w:tblCellMar>
      </w:tblPr>
      <w:tblGrid>
        <w:gridCol w:w="1615"/>
        <w:gridCol w:w="1417"/>
        <w:gridCol w:w="1411"/>
        <w:gridCol w:w="217"/>
        <w:gridCol w:w="758"/>
        <w:gridCol w:w="112"/>
        <w:gridCol w:w="112"/>
        <w:gridCol w:w="112"/>
        <w:gridCol w:w="112"/>
        <w:gridCol w:w="217"/>
        <w:gridCol w:w="758"/>
        <w:gridCol w:w="112"/>
        <w:gridCol w:w="109"/>
        <w:gridCol w:w="109"/>
        <w:gridCol w:w="109"/>
        <w:gridCol w:w="211"/>
        <w:gridCol w:w="736"/>
        <w:gridCol w:w="109"/>
        <w:gridCol w:w="109"/>
        <w:gridCol w:w="109"/>
        <w:gridCol w:w="109"/>
        <w:gridCol w:w="211"/>
        <w:gridCol w:w="736"/>
        <w:gridCol w:w="109"/>
        <w:gridCol w:w="109"/>
        <w:gridCol w:w="109"/>
        <w:gridCol w:w="109"/>
        <w:gridCol w:w="159"/>
      </w:tblGrid>
      <w:tr>
        <w:trPr/>
        <w:tc>
          <w:tcPr>
            <w:tcW w:w="1615"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of unconsolidated joint ventures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of unconsolidated joint ventures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of unconsolidated joint ventures</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unconsolidated joint ventures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operating income of unconsolidated joint ventures</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11,477</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10,631</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19,874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color w:val="006EBF"/>
          <w:sz w:val="20"/>
          <w:u w:val="single"/>
        </w:rPr>
      </w:pPr>
      <w:r>
        <w:rPr>
          <w:rFonts w:ascii="Times New Roman;serif" w:hAnsi="Times New Roman;serif"/>
          <w:b/>
          <w:color w:val="006EBF"/>
          <w:sz w:val="20"/>
          <w:u w:val="single"/>
        </w:rPr>
        <w:t>ITEM 3. QUANTITATIVE AND QUALITATIVE DISCLOSURES ABOUT MARKET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pStyle w:val="TextBody"/>
        <w:bidi w:val="0"/>
        <w:spacing w:lineRule="auto" w:line="288" w:before="1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Market Risks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exposure to financial market risks includes changes to interest rates and credit risks related to marketable securities, interest rates related to our outstanding indebtedness and trade receivables.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Consolidated Financial Statements.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current RCL has a $95,942,000 outstanding balance. The interest rate on this line of credit can float at a rate equal to one-month term SOFR plus 2.25%, before patronage, for an effective rate of 5.95% at June 30, 2026. During the term of this RCL (which matures in January 2029), we can borrow at any time and partially or wholly repay any outstanding borrowings and then re-borrow, as necessary outstanding balances.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periodic credit evaluations of our customers’ financial conditions, we believe our credit risk is minimal. Market risk related to our farming inventories is discussed below in the section pertaining to commodity price exposure.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our financial instruments that are sensitive to changes in interest rates. The tables present our debt obligations and marketable securities and their related weighted-average interest rates by expected maturity dates.</w:t>
      </w:r>
    </w:p>
    <w:p>
      <w:pPr>
        <w:pStyle w:val="TextBody"/>
        <w:bidi w:val="0"/>
        <w:spacing w:before="10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Interest Rate Sensitivity Financial Market Risks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Amount by Expected Maturity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At June 30,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percentage data)</w:t>
      </w:r>
    </w:p>
    <w:tbl>
      <w:tblPr>
        <w:tblW w:w="10205" w:type="dxa"/>
        <w:jc w:val="center"/>
        <w:tblInd w:w="0" w:type="dxa"/>
        <w:tblLayout w:type="fixed"/>
        <w:tblCellMar>
          <w:top w:w="28" w:type="dxa"/>
          <w:left w:w="28" w:type="dxa"/>
          <w:bottom w:w="28" w:type="dxa"/>
          <w:right w:w="28" w:type="dxa"/>
        </w:tblCellMar>
      </w:tblPr>
      <w:tblGrid>
        <w:gridCol w:w="679"/>
        <w:gridCol w:w="524"/>
        <w:gridCol w:w="530"/>
        <w:gridCol w:w="244"/>
        <w:gridCol w:w="244"/>
        <w:gridCol w:w="248"/>
        <w:gridCol w:w="109"/>
        <w:gridCol w:w="109"/>
        <w:gridCol w:w="109"/>
        <w:gridCol w:w="244"/>
        <w:gridCol w:w="244"/>
        <w:gridCol w:w="248"/>
        <w:gridCol w:w="109"/>
        <w:gridCol w:w="109"/>
        <w:gridCol w:w="109"/>
        <w:gridCol w:w="213"/>
        <w:gridCol w:w="213"/>
        <w:gridCol w:w="215"/>
        <w:gridCol w:w="109"/>
        <w:gridCol w:w="109"/>
        <w:gridCol w:w="109"/>
        <w:gridCol w:w="266"/>
        <w:gridCol w:w="266"/>
        <w:gridCol w:w="270"/>
        <w:gridCol w:w="109"/>
        <w:gridCol w:w="109"/>
        <w:gridCol w:w="109"/>
        <w:gridCol w:w="213"/>
        <w:gridCol w:w="213"/>
        <w:gridCol w:w="215"/>
        <w:gridCol w:w="109"/>
        <w:gridCol w:w="109"/>
        <w:gridCol w:w="109"/>
        <w:gridCol w:w="310"/>
        <w:gridCol w:w="310"/>
        <w:gridCol w:w="311"/>
        <w:gridCol w:w="109"/>
        <w:gridCol w:w="109"/>
        <w:gridCol w:w="109"/>
        <w:gridCol w:w="266"/>
        <w:gridCol w:w="266"/>
        <w:gridCol w:w="270"/>
        <w:gridCol w:w="109"/>
        <w:gridCol w:w="109"/>
        <w:gridCol w:w="109"/>
        <w:gridCol w:w="288"/>
        <w:gridCol w:w="279"/>
        <w:gridCol w:w="327"/>
      </w:tblGrid>
      <w:tr>
        <w:trPr/>
        <w:tc>
          <w:tcPr>
            <w:tcW w:w="67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$11,187</w:t>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interest rate</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line-of-credit</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$95,942</w:t>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 average interest rate</w:t>
            </w:r>
            <w:r>
              <w:rPr>
                <w:rFonts w:ascii="Times New Roman;serif" w:hAnsi="Times New Roman;serif"/>
                <w:b w:val="false"/>
                <w:color w:val="000000"/>
                <w:sz w:val="13"/>
              </w:rPr>
              <w:t>1</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8"/>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rFonts w:ascii="Times New Roman;serif" w:hAnsi="Times New Roman;serif"/>
                <w:b w:val="false"/>
                <w:color w:val="000000"/>
                <w:sz w:val="18"/>
              </w:rPr>
              <w:t>The effective interest rate on this line of credit is SOFR plus a margin of 2.25%. The all-in rate was 5.95% as of June 30, 2026, before patronage.</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Interest Rate Sensitivity Financial Market Risks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Amount by Expected Maturity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At December 31,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percentage data)</w:t>
      </w:r>
    </w:p>
    <w:tbl>
      <w:tblPr>
        <w:tblW w:w="10205" w:type="dxa"/>
        <w:jc w:val="center"/>
        <w:tblInd w:w="0" w:type="dxa"/>
        <w:tblLayout w:type="fixed"/>
        <w:tblCellMar>
          <w:top w:w="28" w:type="dxa"/>
          <w:left w:w="28" w:type="dxa"/>
          <w:bottom w:w="28" w:type="dxa"/>
          <w:right w:w="28" w:type="dxa"/>
        </w:tblCellMar>
      </w:tblPr>
      <w:tblGrid>
        <w:gridCol w:w="660"/>
        <w:gridCol w:w="502"/>
        <w:gridCol w:w="507"/>
        <w:gridCol w:w="265"/>
        <w:gridCol w:w="265"/>
        <w:gridCol w:w="269"/>
        <w:gridCol w:w="109"/>
        <w:gridCol w:w="109"/>
        <w:gridCol w:w="109"/>
        <w:gridCol w:w="209"/>
        <w:gridCol w:w="209"/>
        <w:gridCol w:w="210"/>
        <w:gridCol w:w="109"/>
        <w:gridCol w:w="109"/>
        <w:gridCol w:w="109"/>
        <w:gridCol w:w="209"/>
        <w:gridCol w:w="209"/>
        <w:gridCol w:w="210"/>
        <w:gridCol w:w="109"/>
        <w:gridCol w:w="109"/>
        <w:gridCol w:w="109"/>
        <w:gridCol w:w="265"/>
        <w:gridCol w:w="265"/>
        <w:gridCol w:w="269"/>
        <w:gridCol w:w="109"/>
        <w:gridCol w:w="109"/>
        <w:gridCol w:w="109"/>
        <w:gridCol w:w="209"/>
        <w:gridCol w:w="209"/>
        <w:gridCol w:w="210"/>
        <w:gridCol w:w="109"/>
        <w:gridCol w:w="109"/>
        <w:gridCol w:w="109"/>
        <w:gridCol w:w="310"/>
        <w:gridCol w:w="310"/>
        <w:gridCol w:w="311"/>
        <w:gridCol w:w="109"/>
        <w:gridCol w:w="109"/>
        <w:gridCol w:w="109"/>
        <w:gridCol w:w="255"/>
        <w:gridCol w:w="256"/>
        <w:gridCol w:w="435"/>
        <w:gridCol w:w="109"/>
        <w:gridCol w:w="109"/>
        <w:gridCol w:w="109"/>
        <w:gridCol w:w="288"/>
        <w:gridCol w:w="279"/>
        <w:gridCol w:w="321"/>
      </w:tblGrid>
      <w:tr>
        <w:trPr/>
        <w:tc>
          <w:tcPr>
            <w:tcW w:w="66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$15,370</w:t>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interest rate</w:t>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line-of-credit</w:t>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$93,942</w:t>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 average interest rate</w:t>
            </w:r>
            <w:r>
              <w:rPr>
                <w:rFonts w:ascii="Times New Roman;serif" w:hAnsi="Times New Roman;serif"/>
                <w:b w:val="false"/>
                <w:color w:val="000000"/>
                <w:sz w:val="13"/>
              </w:rPr>
              <w:t>1</w:t>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8"/>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8"/>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rFonts w:ascii="Times New Roman;serif" w:hAnsi="Times New Roman;serif"/>
                <w:b w:val="false"/>
                <w:color w:val="000000"/>
                <w:sz w:val="18"/>
              </w:rPr>
              <w:t>The effective interest rate on this line of credit is SOFR plus a margin of 2.25%, and the rate was 6.15% as of December 31, 2025, before patronage.</w:t>
            </w:r>
          </w:p>
        </w:tc>
      </w:tr>
    </w:tbl>
    <w:p>
      <w:pPr>
        <w:pStyle w:val="TextBody"/>
        <w:bidi w:val="0"/>
        <w:spacing w:lineRule="auto" w:line="288" w:before="1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Commodity Price Exposure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Farming inventories and accounts receivable are exposed to adverse price fluctuations. Farming inventories consist of farming, cultural, and processing costs associated with crop production. Farming inventory costs are recorded as incurred. Historically, these costs have been recovered through crop sales occurring after harvest.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there were no receivables that were subject to commodity price fluctuations given there was no pistachio yield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6EBF"/>
          <w:sz w:val="20"/>
          <w:u w:val="single"/>
        </w:rPr>
      </w:pPr>
      <w:r>
        <w:rPr>
          <w:rFonts w:ascii="Times New Roman;serif" w:hAnsi="Times New Roman;serif"/>
          <w:b/>
          <w:color w:val="006EBF"/>
          <w:sz w:val="20"/>
          <w:u w:val="single"/>
        </w:rPr>
        <w:t>ITEM 4. CONTROLS AND PROCEDURES</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(a)Evaluation of Disclosure Controls and Procedures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At the end of the period covered by this report, management conducted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as of the end of the period covered by this report, our disclosure controls and procedures were effective in ensuring that all information required to be disclosed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 required by the rules and regulations of the SEC.</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(b)Changes in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identified in connection with the evaluation required by paragraph (d) of Rule 13a-15 or Rule 15d-15 under the Exchange Act that occurred during our last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6EBF"/>
          <w:sz w:val="20"/>
          <w:u w:val="single"/>
        </w:rPr>
      </w:pPr>
      <w:r>
        <w:rPr>
          <w:rFonts w:ascii="Times New Roman;serif" w:hAnsi="Times New Roman;serif"/>
          <w:b/>
          <w:color w:val="006EBF"/>
          <w:sz w:val="20"/>
          <w:u w:val="single"/>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6EBF"/>
          <w:sz w:val="20"/>
          <w:u w:val="single"/>
        </w:rPr>
      </w:pPr>
      <w:r>
        <w:rPr>
          <w:rFonts w:ascii="Times New Roman;serif" w:hAnsi="Times New Roman;serif"/>
          <w:b/>
          <w:color w:val="006EBF"/>
          <w:sz w:val="20"/>
          <w:u w:val="single"/>
        </w:rPr>
        <w:t>Item 1. Legal Proceedings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Please refer to Note 11 (Commitments and Contingencies) in the Notes to Unaudited Consolidated Financial Statements in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6EBF"/>
          <w:sz w:val="20"/>
          <w:u w:val="single"/>
        </w:rPr>
      </w:pPr>
      <w:r>
        <w:rPr>
          <w:rFonts w:ascii="Times New Roman;serif" w:hAnsi="Times New Roman;serif"/>
          <w:b/>
          <w:color w:val="006EBF"/>
          <w:sz w:val="20"/>
          <w:u w:val="single"/>
        </w:rPr>
        <w:t>Item 1A. Risk Factors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disclosed in Part I, Item 1A in our most recent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6EBF"/>
          <w:sz w:val="20"/>
          <w:u w:val="single"/>
        </w:rPr>
      </w:pPr>
      <w:r>
        <w:rPr>
          <w:rFonts w:ascii="Times New Roman;serif" w:hAnsi="Times New Roman;serif"/>
          <w:b/>
          <w:color w:val="006EBF"/>
          <w:sz w:val="20"/>
          <w:u w:val="single"/>
        </w:rPr>
        <w:t>Item 2. Unregistered Sales of Equity Securities and Use of Proceeds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6EBF"/>
          <w:sz w:val="20"/>
          <w:u w:val="single"/>
        </w:rPr>
      </w:pPr>
      <w:r>
        <w:rPr>
          <w:rFonts w:ascii="Times New Roman;serif" w:hAnsi="Times New Roman;serif"/>
          <w:b/>
          <w:color w:val="006EBF"/>
          <w:sz w:val="20"/>
          <w:u w:val="single"/>
        </w:rPr>
        <w:t>Item 3. Defaults Upon Senior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6EBF"/>
          <w:sz w:val="20"/>
          <w:u w:val="single"/>
        </w:rPr>
      </w:pPr>
      <w:r>
        <w:rPr>
          <w:rFonts w:ascii="Times New Roman;serif" w:hAnsi="Times New Roman;serif"/>
          <w:b/>
          <w:color w:val="006EBF"/>
          <w:sz w:val="20"/>
          <w:u w:val="single"/>
        </w:rPr>
        <w:t>Item 4. Mine Safety Disclosures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6EBF"/>
          <w:sz w:val="20"/>
          <w:u w:val="single"/>
        </w:rPr>
      </w:pPr>
      <w:r>
        <w:rPr>
          <w:rFonts w:ascii="Times New Roman;serif" w:hAnsi="Times New Roman;serif"/>
          <w:b/>
          <w:color w:val="006EBF"/>
          <w:sz w:val="20"/>
          <w:u w:val="single"/>
        </w:rPr>
        <w:t>Item 5. Other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 Not applicable.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 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83"/>
        <w:gridCol w:w="242"/>
        <w:gridCol w:w="249"/>
        <w:gridCol w:w="109"/>
        <w:gridCol w:w="109"/>
        <w:gridCol w:w="109"/>
        <w:gridCol w:w="2828"/>
        <w:gridCol w:w="2784"/>
        <w:gridCol w:w="2791"/>
        <w:gridCol w:w="109"/>
        <w:gridCol w:w="109"/>
        <w:gridCol w:w="109"/>
        <w:gridCol w:w="109"/>
        <w:gridCol w:w="109"/>
        <w:gridCol w:w="156"/>
      </w:tblGrid>
      <w:tr>
        <w:trPr/>
        <w:tc>
          <w:tcPr>
            <w:tcW w:w="28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6EBF"/>
                <w:sz w:val="20"/>
                <w:u w:val="single"/>
              </w:rPr>
            </w:pPr>
            <w:r>
              <w:rPr>
                <w:rFonts w:ascii="Times New Roman;serif" w:hAnsi="Times New Roman;serif"/>
                <w:b/>
                <w:color w:val="006EBF"/>
                <w:sz w:val="20"/>
                <w:u w:val="single"/>
              </w:rPr>
              <w:t>Item 6. Exhibits:</w:t>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Restated Certificate of Incorporation of Tejon Ranch Co., as filed with the Secretary of State of the State of Delaware on May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section302certceoq120.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the Company’s Chief Executive Officer pursuant to Rule 13a-14(a) and 15d-14(a) under the Securities Exchange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section302cfoq22026.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the Company’s Chief Financial Officer pursuant to Rule 13a-14(a) and 15d-14(a) under the Securities Exchange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section906ceocaoq22026.htm">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section906ceocaoq12026.htm">
              <w:r>
                <w:rPr>
                  <w:rStyle w:val="InternetLink"/>
                  <w:rFonts w:ascii="Times New Roman;serif" w:hAnsi="Times New Roman;serif"/>
                  <w:b w:val="false"/>
                  <w:color w:val="000000"/>
                  <w:sz w:val="20"/>
                </w:rPr>
                <w:t>Certifications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the Company’s Chief Financial Officer pursuant to Rule 13a-14(a) and 15d-14(a) under the Securities Exchange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compensatory plan or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9551"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2297"/>
        <w:gridCol w:w="2297"/>
        <w:gridCol w:w="3265"/>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TEJON RANCH CO.</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9"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H. Walker</w:t>
            </w:r>
          </w:p>
        </w:tc>
      </w:tr>
      <w:tr>
        <w:trPr/>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H. Walker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D. Velasquez</w:t>
            </w:r>
          </w:p>
        </w:tc>
      </w:tr>
      <w:tr>
        <w:trPr/>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D. Velasquez</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Treasurer, Senior Vice President, Finance and Chief Accounting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Exchange Act Rules 13a-14(a) and 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Matthew H. Walker,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Tejon Ranch Co.;</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130"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304"/>
        <w:gridCol w:w="304"/>
        <w:gridCol w:w="304"/>
        <w:gridCol w:w="928"/>
        <w:gridCol w:w="928"/>
        <w:gridCol w:w="135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1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H. Walker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H. Walker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Exchange Act Rules 13a-14(a) and 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Robert D. Velasquez,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Tejon Ranch Co.;</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0"/>
        <w:gridCol w:w="221"/>
        <w:gridCol w:w="223"/>
        <w:gridCol w:w="430"/>
        <w:gridCol w:w="430"/>
        <w:gridCol w:w="432"/>
        <w:gridCol w:w="305"/>
        <w:gridCol w:w="305"/>
        <w:gridCol w:w="305"/>
        <w:gridCol w:w="2134"/>
        <w:gridCol w:w="2124"/>
        <w:gridCol w:w="3046"/>
      </w:tblGrid>
      <w:tr>
        <w:trPr/>
        <w:tc>
          <w:tcPr>
            <w:tcW w:w="25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w:t>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82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D. Velasquez</w:t>
            </w:r>
          </w:p>
        </w:tc>
      </w:tr>
      <w:tr>
        <w:trPr/>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D. Velasquez</w:t>
            </w:r>
          </w:p>
        </w:tc>
      </w:tr>
      <w:tr>
        <w:trPr/>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Treasurer, Senior Vice President, Finance and 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Each of the undersigned hereby certifies, in his capacity as an officer of Tejon Ranch Co. (the “Company”), for purposes of 18 U.S.C. Section 1350, as adopted pursuant to Section 906 of the Sarbanes-Oxley Act of 2002, that to his own knowledge: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Quarterly Report of the Company on Form 10-Q for the period ended June 30, 2026 fully complies with the requirements of Section 13(a) of the Securities Exchange Act of 1934;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information contained in such report fairly presents, in all material respects, the financial condition and results of operation of the Company.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Tejon Ranch Co. and will be retained by Tejon Ranch Co., and furnished to the Securities and Exchange Commission or its staff upon request.</w:t>
      </w:r>
    </w:p>
    <w:p>
      <w:pPr>
        <w:pStyle w:val="TextBody"/>
        <w:bidi w:val="0"/>
        <w:spacing w:lineRule="auto" w:line="288" w:before="0" w:after="0"/>
        <w:jc w:val="left"/>
        <w:rPr>
          <w:color w:val="000000"/>
        </w:rPr>
      </w:pPr>
      <w:r>
        <w:rPr>
          <w:color w:val="000000"/>
        </w:rPr>
        <w:t> </w:t>
      </w:r>
    </w:p>
    <w:tbl>
      <w:tblPr>
        <w:tblW w:w="8200" w:type="dxa"/>
        <w:jc w:val="left"/>
        <w:tblInd w:w="0" w:type="dxa"/>
        <w:tblLayout w:type="fixed"/>
        <w:tblCellMar>
          <w:top w:w="28" w:type="dxa"/>
          <w:left w:w="28" w:type="dxa"/>
          <w:bottom w:w="28" w:type="dxa"/>
          <w:right w:w="28" w:type="dxa"/>
        </w:tblCellMar>
      </w:tblPr>
      <w:tblGrid>
        <w:gridCol w:w="968"/>
        <w:gridCol w:w="855"/>
        <w:gridCol w:w="862"/>
        <w:gridCol w:w="1712"/>
        <w:gridCol w:w="1712"/>
        <w:gridCol w:w="1719"/>
        <w:gridCol w:w="109"/>
        <w:gridCol w:w="109"/>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w:t>
            </w:r>
          </w:p>
        </w:tc>
        <w:tc>
          <w:tcPr>
            <w:tcW w:w="5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H. Walker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H. Walker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D. Velasquez</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D. Velasquez</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Treasurer, Senior Vice President, Finance and Chief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27413</Words>
  <Characters>153109</Characters>
  <CharactersWithSpaces>178160</CharactersWithSpaces>
  <Paragraphs>4209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