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6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6"/>
          <w:szCs w:val="16"/>
          <w:color w:val="auto"/>
        </w:rPr>
        <w:t>(Mark One)</w:t>
      </w:r>
    </w:p>
    <w:p>
      <w:pPr>
        <w:spacing w:after="0" w:line="260" w:lineRule="exact"/>
        <w:rPr>
          <w:sz w:val="24"/>
          <w:szCs w:val="24"/>
          <w:color w:val="auto"/>
        </w:rPr>
      </w:pPr>
    </w:p>
    <w:p>
      <w:pPr>
        <w:jc w:val="center"/>
        <w:ind w:left="4000" w:right="1300" w:hanging="2590"/>
        <w:spacing w:after="0" w:line="299" w:lineRule="auto"/>
        <w:tabs>
          <w:tab w:leader="none" w:pos="161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 For the quarterly period ended March 31, 2024</w:t>
      </w:r>
    </w:p>
    <w:p>
      <w:pPr>
        <w:spacing w:after="0" w:line="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73" w:lineRule="exact"/>
        <w:rPr>
          <w:sz w:val="24"/>
          <w:szCs w:val="24"/>
          <w:color w:val="auto"/>
        </w:rPr>
      </w:pPr>
    </w:p>
    <w:p>
      <w:pPr>
        <w:ind w:left="1600" w:hanging="196"/>
        <w:spacing w:after="0"/>
        <w:tabs>
          <w:tab w:leader="none" w:pos="160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59" w:lineRule="exact"/>
        <w:rPr>
          <w:sz w:val="24"/>
          <w:szCs w:val="24"/>
          <w:color w:val="auto"/>
        </w:rPr>
      </w:pPr>
    </w:p>
    <w:p>
      <w:pPr>
        <w:ind w:left="3960"/>
        <w:spacing w:after="0"/>
        <w:tabs>
          <w:tab w:leader="none" w:pos="660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Commission file number: 1-07183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3253740</wp:posOffset>
            </wp:positionH>
            <wp:positionV relativeFrom="paragraph">
              <wp:posOffset>111760</wp:posOffset>
            </wp:positionV>
            <wp:extent cx="634365" cy="6343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4365" cy="6343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0"/>
          <w:szCs w:val="40"/>
          <w:b w:val="1"/>
          <w:bCs w:val="1"/>
          <w:color w:val="auto"/>
        </w:rPr>
        <w:t>TEJON RANCH CO.</w:t>
      </w:r>
    </w:p>
    <w:p>
      <w:pPr>
        <w:spacing w:after="0" w:line="5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2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(State or other jurisdiction of incorporation or organization)</w:t>
      </w:r>
    </w:p>
    <w:p>
      <w:pPr>
        <w:spacing w:after="0" w:line="9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77-0196136</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9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P.O. Box 1000, Tejon Ranch, California 93243</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9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(661) 248-3000</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3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44" w:lineRule="exact"/>
        <w:rPr>
          <w:sz w:val="24"/>
          <w:szCs w:val="24"/>
          <w:color w:val="auto"/>
        </w:rPr>
      </w:pPr>
    </w:p>
    <w:tbl>
      <w:tblPr>
        <w:tblLayout w:type="fixed"/>
        <w:tblInd w:w="120" w:type="dxa"/>
        <w:tblCellMar>
          <w:top w:w="0" w:type="dxa"/>
          <w:left w:w="0" w:type="dxa"/>
          <w:bottom w:w="0" w:type="dxa"/>
          <w:right w:w="0" w:type="dxa"/>
        </w:tblCellMar>
      </w:tblPr>
      <w:tr>
        <w:trPr>
          <w:trHeight w:val="238"/>
        </w:trPr>
        <w:tc>
          <w:tcPr>
            <w:tcW w:w="4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2"/>
        </w:trPr>
        <w:tc>
          <w:tcPr>
            <w:tcW w:w="4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$0.50 par value</w:t>
            </w:r>
          </w:p>
        </w:tc>
        <w:tc>
          <w:tcPr>
            <w:tcW w:w="100" w:type="dxa"/>
            <w:vAlign w:val="bottom"/>
          </w:tcPr>
          <w:p>
            <w:pPr>
              <w:spacing w:after="0"/>
              <w:rPr>
                <w:sz w:val="20"/>
                <w:szCs w:val="20"/>
                <w:color w:val="auto"/>
              </w:rPr>
            </w:pPr>
          </w:p>
        </w:tc>
        <w:tc>
          <w:tcPr>
            <w:tcW w:w="2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TRC</w:t>
            </w:r>
          </w:p>
        </w:tc>
        <w:tc>
          <w:tcPr>
            <w:tcW w:w="100" w:type="dxa"/>
            <w:vAlign w:val="bottom"/>
          </w:tcPr>
          <w:p>
            <w:pPr>
              <w:spacing w:after="0"/>
              <w:rPr>
                <w:sz w:val="20"/>
                <w:szCs w:val="20"/>
                <w:color w:val="auto"/>
              </w:rPr>
            </w:pPr>
          </w:p>
        </w:tc>
        <w:tc>
          <w:tcPr>
            <w:tcW w:w="4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New York Stock Exchange</w:t>
            </w:r>
          </w:p>
        </w:tc>
      </w:tr>
    </w:tbl>
    <w:p>
      <w:pPr>
        <w:spacing w:after="0" w:line="355" w:lineRule="exact"/>
        <w:rPr>
          <w:sz w:val="24"/>
          <w:szCs w:val="24"/>
          <w:color w:val="auto"/>
        </w:rPr>
      </w:pPr>
    </w:p>
    <w:p>
      <w:pPr>
        <w:ind w:left="20" w:right="260"/>
        <w:spacing w:after="0" w:line="18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No</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auto"/>
        </w:rPr>
        <w:t>☐</w:t>
      </w:r>
    </w:p>
    <w:p>
      <w:pPr>
        <w:spacing w:after="0" w:line="196" w:lineRule="exact"/>
        <w:rPr>
          <w:sz w:val="24"/>
          <w:szCs w:val="24"/>
          <w:color w:val="auto"/>
        </w:rPr>
      </w:pPr>
    </w:p>
    <w:p>
      <w:pPr>
        <w:ind w:left="20" w:right="280"/>
        <w:spacing w:after="0" w:line="19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No</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auto"/>
        </w:rPr>
        <w:t>☐</w:t>
      </w:r>
    </w:p>
    <w:p>
      <w:pPr>
        <w:spacing w:after="0" w:line="223" w:lineRule="exact"/>
        <w:rPr>
          <w:sz w:val="24"/>
          <w:szCs w:val="24"/>
          <w:color w:val="auto"/>
        </w:rPr>
      </w:pPr>
    </w:p>
    <w:p>
      <w:pPr>
        <w:ind w:left="20"/>
        <w:spacing w:after="0" w:line="23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140"/>
          </w:cols>
          <w:pgMar w:left="320" w:top="954" w:right="439" w:bottom="1440" w:gutter="0" w:footer="0" w:header="0"/>
        </w:sectPr>
      </w:pPr>
    </w:p>
    <w:p>
      <w:pPr>
        <w:spacing w:after="0" w:line="119" w:lineRule="exact"/>
        <w:rPr>
          <w:sz w:val="24"/>
          <w:szCs w:val="24"/>
          <w:color w:val="auto"/>
        </w:rPr>
      </w:pPr>
    </w:p>
    <w:p>
      <w:pPr>
        <w:ind w:left="2040"/>
        <w:spacing w:after="0" w:line="184"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Accelerated filer </w:t>
      </w:r>
      <w:r>
        <w:rPr>
          <w:rFonts w:ascii="MS PGothic" w:cs="MS PGothic" w:eastAsia="MS PGothic" w:hAnsi="MS PGothic"/>
          <w:sz w:val="15"/>
          <w:szCs w:val="15"/>
          <w:color w:val="auto"/>
        </w:rPr>
        <w:t>☐</w:t>
      </w:r>
    </w:p>
    <w:p>
      <w:pPr>
        <w:spacing w:after="0" w:line="99" w:lineRule="exact"/>
        <w:rPr>
          <w:sz w:val="24"/>
          <w:szCs w:val="24"/>
          <w:color w:val="auto"/>
        </w:rPr>
      </w:pPr>
    </w:p>
    <w:p>
      <w:pPr>
        <w:sectPr>
          <w:pgSz w:w="11900" w:h="16838" w:orient="portrait"/>
          <w:cols w:equalWidth="0" w:num="2">
            <w:col w:w="4540" w:space="720"/>
            <w:col w:w="5880"/>
          </w:cols>
          <w:pgMar w:left="320" w:top="954" w:right="439" w:bottom="1440" w:gutter="0" w:footer="0" w:header="0"/>
          <w:type w:val="continuous"/>
        </w:sectPr>
      </w:pPr>
    </w:p>
    <w:p>
      <w:pPr>
        <w:spacing w:after="0" w:line="34" w:lineRule="exact"/>
        <w:rPr>
          <w:sz w:val="24"/>
          <w:szCs w:val="24"/>
          <w:color w:val="auto"/>
        </w:rPr>
      </w:pPr>
    </w:p>
    <w:p>
      <w:pPr>
        <w:ind w:left="2120"/>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Times New Roman" w:cs="Times New Roman" w:eastAsia="Times New Roman" w:hAnsi="Times New Roman"/>
          <w:sz w:val="16"/>
          <w:szCs w:val="16"/>
          <w:color w:val="auto"/>
        </w:rPr>
        <w:t xml:space="preserve">Smaller reporting company </w:t>
      </w:r>
      <w:r>
        <w:rPr>
          <w:rFonts w:ascii="MS PGothic" w:cs="MS PGothic" w:eastAsia="MS PGothic" w:hAnsi="MS PGothic"/>
          <w:sz w:val="16"/>
          <w:szCs w:val="16"/>
          <w:color w:val="auto"/>
        </w:rPr>
        <w:t>☒</w:t>
      </w:r>
    </w:p>
    <w:p>
      <w:pPr>
        <w:spacing w:after="0" w:line="85" w:lineRule="exact"/>
        <w:rPr>
          <w:sz w:val="24"/>
          <w:szCs w:val="24"/>
          <w:color w:val="auto"/>
        </w:rPr>
      </w:pPr>
    </w:p>
    <w:p>
      <w:pPr>
        <w:sectPr>
          <w:pgSz w:w="11900" w:h="16838" w:orient="portrait"/>
          <w:cols w:equalWidth="0" w:num="2">
            <w:col w:w="3840" w:space="720"/>
            <w:col w:w="6580"/>
          </w:cols>
          <w:pgMar w:left="320" w:top="954" w:right="439" w:bottom="1440" w:gutter="0" w:footer="0" w:header="0"/>
          <w:type w:val="continuous"/>
        </w:sectPr>
      </w:pPr>
    </w:p>
    <w:p>
      <w:pPr>
        <w:jc w:val="center"/>
        <w:ind w:right="60"/>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ectPr>
          <w:pgSz w:w="11900" w:h="16838" w:orient="portrait"/>
          <w:cols w:equalWidth="0" w:num="1">
            <w:col w:w="11140"/>
          </w:cols>
          <w:pgMar w:left="320" w:top="954" w:right="439" w:bottom="1440" w:gutter="0" w:footer="0" w:header="0"/>
          <w:type w:val="continuous"/>
        </w:sectPr>
      </w:pPr>
    </w:p>
    <w:p>
      <w:pPr>
        <w:spacing w:after="0" w:line="201" w:lineRule="exact"/>
        <w:rPr>
          <w:sz w:val="24"/>
          <w:szCs w:val="24"/>
          <w:color w:val="auto"/>
        </w:rPr>
      </w:pPr>
    </w:p>
    <w:p>
      <w:pPr>
        <w:ind w:left="20" w:right="460"/>
        <w:spacing w:after="0" w:line="19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74" w:lineRule="exact"/>
        <w:rPr>
          <w:sz w:val="24"/>
          <w:szCs w:val="24"/>
          <w:color w:val="auto"/>
        </w:rPr>
      </w:pPr>
    </w:p>
    <w:p>
      <w:pPr>
        <w:ind w:left="20"/>
        <w:spacing w:after="0" w:line="185"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No</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auto"/>
        </w:rPr>
        <w:t>☒</w:t>
      </w:r>
    </w:p>
    <w:p>
      <w:pPr>
        <w:spacing w:after="0" w:line="32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The number of the Company’s outstanding shares of Common Stock on April 30, 2024 was 26,797,440.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590550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54" w:right="4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TEJON RANCH CO.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PART I.</w:t>
            </w:r>
          </w:p>
        </w:tc>
        <w:tc>
          <w:tcPr>
            <w:tcW w:w="948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FINANCIAL INFORMATION</w:t>
            </w:r>
          </w:p>
        </w:tc>
        <w:tc>
          <w:tcPr>
            <w:tcW w:w="9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209"/>
        </w:trPr>
        <w:tc>
          <w:tcPr>
            <w:tcW w:w="820" w:type="dxa"/>
            <w:vAlign w:val="bottom"/>
            <w:vMerge w:val="continue"/>
          </w:tcPr>
          <w:p>
            <w:pPr>
              <w:spacing w:after="0"/>
              <w:rPr>
                <w:sz w:val="18"/>
                <w:szCs w:val="18"/>
                <w:color w:val="auto"/>
              </w:rPr>
            </w:pPr>
          </w:p>
        </w:tc>
        <w:tc>
          <w:tcPr>
            <w:tcW w:w="9480" w:type="dxa"/>
            <w:vAlign w:val="bottom"/>
            <w:vMerge w:val="continue"/>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Financial Statements</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378"/>
        </w:trPr>
        <w:tc>
          <w:tcPr>
            <w:tcW w:w="820" w:type="dxa"/>
            <w:vAlign w:val="bottom"/>
          </w:tcPr>
          <w:p>
            <w:pPr>
              <w:spacing w:after="0"/>
              <w:rPr>
                <w:sz w:val="24"/>
                <w:szCs w:val="24"/>
                <w:color w:val="auto"/>
              </w:rPr>
            </w:pPr>
          </w:p>
        </w:tc>
        <w:tc>
          <w:tcPr>
            <w:tcW w:w="9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Consolidated Balance Sheets as of March 31, 2024 (unaudited) and December 31, 2023</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378"/>
        </w:trPr>
        <w:tc>
          <w:tcPr>
            <w:tcW w:w="820" w:type="dxa"/>
            <w:vAlign w:val="bottom"/>
          </w:tcPr>
          <w:p>
            <w:pPr>
              <w:spacing w:after="0"/>
              <w:rPr>
                <w:sz w:val="24"/>
                <w:szCs w:val="24"/>
                <w:color w:val="auto"/>
              </w:rPr>
            </w:pPr>
          </w:p>
        </w:tc>
        <w:tc>
          <w:tcPr>
            <w:tcW w:w="9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Unaudited Consolidated Statements of Operations for the Three Months Ended March 31, 2024 and 2023</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392"/>
        </w:trPr>
        <w:tc>
          <w:tcPr>
            <w:tcW w:w="820" w:type="dxa"/>
            <w:vAlign w:val="bottom"/>
          </w:tcPr>
          <w:p>
            <w:pPr>
              <w:spacing w:after="0"/>
              <w:rPr>
                <w:sz w:val="24"/>
                <w:szCs w:val="24"/>
                <w:color w:val="auto"/>
              </w:rPr>
            </w:pPr>
          </w:p>
        </w:tc>
        <w:tc>
          <w:tcPr>
            <w:tcW w:w="9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Unaudited Consolidated Statements of Comprehensive Income for the Three Months Ended March 31, 2024 and 2023</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392"/>
        </w:trPr>
        <w:tc>
          <w:tcPr>
            <w:tcW w:w="820" w:type="dxa"/>
            <w:vAlign w:val="bottom"/>
          </w:tcPr>
          <w:p>
            <w:pPr>
              <w:spacing w:after="0"/>
              <w:rPr>
                <w:sz w:val="24"/>
                <w:szCs w:val="24"/>
                <w:color w:val="auto"/>
              </w:rPr>
            </w:pPr>
          </w:p>
        </w:tc>
        <w:tc>
          <w:tcPr>
            <w:tcW w:w="9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Unaudited Consolidated Statements of Cash Flows for the Three Months Ended March 31, 2024 and 2023</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392"/>
        </w:trPr>
        <w:tc>
          <w:tcPr>
            <w:tcW w:w="820" w:type="dxa"/>
            <w:vAlign w:val="bottom"/>
          </w:tcPr>
          <w:p>
            <w:pPr>
              <w:spacing w:after="0"/>
              <w:rPr>
                <w:sz w:val="24"/>
                <w:szCs w:val="24"/>
                <w:color w:val="auto"/>
              </w:rPr>
            </w:pPr>
          </w:p>
        </w:tc>
        <w:tc>
          <w:tcPr>
            <w:tcW w:w="9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Unaudited Consolidated Statement of Changes in Equity for the Three Months Ended March 31, 2024 and 2023</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391"/>
        </w:trPr>
        <w:tc>
          <w:tcPr>
            <w:tcW w:w="820" w:type="dxa"/>
            <w:vAlign w:val="bottom"/>
          </w:tcPr>
          <w:p>
            <w:pPr>
              <w:spacing w:after="0"/>
              <w:rPr>
                <w:sz w:val="24"/>
                <w:szCs w:val="24"/>
                <w:color w:val="auto"/>
              </w:rPr>
            </w:pPr>
          </w:p>
        </w:tc>
        <w:tc>
          <w:tcPr>
            <w:tcW w:w="9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Notes to Unaudited Consolidated Financial Statements</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0" w:type="dxa"/>
            <w:vAlign w:val="bottom"/>
          </w:tcPr>
          <w:p>
            <w:pPr>
              <w:spacing w:after="0"/>
              <w:rPr>
                <w:sz w:val="1"/>
                <w:szCs w:val="1"/>
                <w:color w:val="auto"/>
              </w:rPr>
            </w:pPr>
          </w:p>
        </w:tc>
      </w:tr>
      <w:tr>
        <w:trPr>
          <w:trHeight w:val="392"/>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9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c>
          <w:tcPr>
            <w:tcW w:w="0" w:type="dxa"/>
            <w:vAlign w:val="bottom"/>
          </w:tcPr>
          <w:p>
            <w:pPr>
              <w:spacing w:after="0"/>
              <w:rPr>
                <w:sz w:val="1"/>
                <w:szCs w:val="1"/>
                <w:color w:val="auto"/>
              </w:rPr>
            </w:pPr>
          </w:p>
        </w:tc>
      </w:tr>
      <w:tr>
        <w:trPr>
          <w:trHeight w:val="392"/>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9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c>
          <w:tcPr>
            <w:tcW w:w="0" w:type="dxa"/>
            <w:vAlign w:val="bottom"/>
          </w:tcPr>
          <w:p>
            <w:pPr>
              <w:spacing w:after="0"/>
              <w:rPr>
                <w:sz w:val="1"/>
                <w:szCs w:val="1"/>
                <w:color w:val="auto"/>
              </w:rPr>
            </w:pPr>
          </w:p>
        </w:tc>
      </w:tr>
      <w:tr>
        <w:trPr>
          <w:trHeight w:val="392"/>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9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Controls and Procedures</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0" w:type="dxa"/>
            <w:vAlign w:val="bottom"/>
          </w:tcPr>
          <w:p>
            <w:pPr>
              <w:spacing w:after="0"/>
              <w:rPr>
                <w:sz w:val="1"/>
                <w:szCs w:val="1"/>
                <w:color w:val="auto"/>
              </w:rPr>
            </w:pPr>
          </w:p>
        </w:tc>
      </w:tr>
      <w:tr>
        <w:trPr>
          <w:trHeight w:val="391"/>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 II.</w:t>
            </w:r>
          </w:p>
        </w:tc>
        <w:tc>
          <w:tcPr>
            <w:tcW w:w="9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INFORMATION</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Legal Proceedings</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0" w:type="dxa"/>
            <w:vAlign w:val="bottom"/>
          </w:tcPr>
          <w:p>
            <w:pPr>
              <w:spacing w:after="0"/>
              <w:rPr>
                <w:sz w:val="1"/>
                <w:szCs w:val="1"/>
                <w:color w:val="auto"/>
              </w:rPr>
            </w:pPr>
          </w:p>
        </w:tc>
      </w:tr>
      <w:tr>
        <w:trPr>
          <w:trHeight w:val="392"/>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9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Risk Factors</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0" w:type="dxa"/>
            <w:vAlign w:val="bottom"/>
          </w:tcPr>
          <w:p>
            <w:pPr>
              <w:spacing w:after="0"/>
              <w:rPr>
                <w:sz w:val="1"/>
                <w:szCs w:val="1"/>
                <w:color w:val="auto"/>
              </w:rPr>
            </w:pPr>
          </w:p>
        </w:tc>
      </w:tr>
      <w:tr>
        <w:trPr>
          <w:trHeight w:val="391"/>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9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Unregistered Sales of Equity Securities and Use of Proceeds</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0" w:type="dxa"/>
            <w:vAlign w:val="bottom"/>
          </w:tcPr>
          <w:p>
            <w:pPr>
              <w:spacing w:after="0"/>
              <w:rPr>
                <w:sz w:val="1"/>
                <w:szCs w:val="1"/>
                <w:color w:val="auto"/>
              </w:rPr>
            </w:pPr>
          </w:p>
        </w:tc>
      </w:tr>
      <w:tr>
        <w:trPr>
          <w:trHeight w:val="392"/>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9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Defaults Upon Senior Securities</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0" w:type="dxa"/>
            <w:vAlign w:val="bottom"/>
          </w:tcPr>
          <w:p>
            <w:pPr>
              <w:spacing w:after="0"/>
              <w:rPr>
                <w:sz w:val="1"/>
                <w:szCs w:val="1"/>
                <w:color w:val="auto"/>
              </w:rPr>
            </w:pPr>
          </w:p>
        </w:tc>
      </w:tr>
      <w:tr>
        <w:trPr>
          <w:trHeight w:val="392"/>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9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Mine Safety Disclosures</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0" w:type="dxa"/>
            <w:vAlign w:val="bottom"/>
          </w:tcPr>
          <w:p>
            <w:pPr>
              <w:spacing w:after="0"/>
              <w:rPr>
                <w:sz w:val="1"/>
                <w:szCs w:val="1"/>
                <w:color w:val="auto"/>
              </w:rPr>
            </w:pPr>
          </w:p>
        </w:tc>
      </w:tr>
      <w:tr>
        <w:trPr>
          <w:trHeight w:val="391"/>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9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Information</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0" w:type="dxa"/>
            <w:vAlign w:val="bottom"/>
          </w:tcPr>
          <w:p>
            <w:pPr>
              <w:spacing w:after="0"/>
              <w:rPr>
                <w:sz w:val="1"/>
                <w:szCs w:val="1"/>
                <w:color w:val="auto"/>
              </w:rPr>
            </w:pPr>
          </w:p>
        </w:tc>
      </w:tr>
      <w:tr>
        <w:trPr>
          <w:trHeight w:val="392"/>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9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Exhibits</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0" w:type="dxa"/>
            <w:vAlign w:val="bottom"/>
          </w:tcPr>
          <w:p>
            <w:pPr>
              <w:spacing w:after="0"/>
              <w:rPr>
                <w:sz w:val="1"/>
                <w:szCs w:val="1"/>
                <w:color w:val="auto"/>
              </w:rPr>
            </w:pPr>
          </w:p>
        </w:tc>
      </w:tr>
      <w:tr>
        <w:trPr>
          <w:trHeight w:val="391"/>
        </w:trPr>
        <w:tc>
          <w:tcPr>
            <w:tcW w:w="10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SIGNATURES</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0" w:type="dxa"/>
            <w:vAlign w:val="bottom"/>
          </w:tcPr>
          <w:p>
            <w:pPr>
              <w:spacing w:after="0"/>
              <w:rPr>
                <w:sz w:val="1"/>
                <w:szCs w:val="1"/>
                <w:color w:val="auto"/>
              </w:rPr>
            </w:pPr>
          </w:p>
        </w:tc>
      </w:tr>
      <w:tr>
        <w:trPr>
          <w:trHeight w:val="864"/>
        </w:trPr>
        <w:tc>
          <w:tcPr>
            <w:tcW w:w="820" w:type="dxa"/>
            <w:vAlign w:val="bottom"/>
          </w:tcPr>
          <w:p>
            <w:pPr>
              <w:spacing w:after="0"/>
              <w:rPr>
                <w:sz w:val="24"/>
                <w:szCs w:val="24"/>
                <w:color w:val="auto"/>
              </w:rPr>
            </w:pPr>
          </w:p>
        </w:tc>
        <w:tc>
          <w:tcPr>
            <w:tcW w:w="9480" w:type="dxa"/>
            <w:vAlign w:val="bottom"/>
          </w:tcPr>
          <w:p>
            <w:pPr>
              <w:ind w:left="4760"/>
              <w:spacing w:after="0"/>
              <w:rPr>
                <w:sz w:val="20"/>
                <w:szCs w:val="20"/>
                <w:color w:val="auto"/>
              </w:rPr>
            </w:pPr>
            <w:r>
              <w:rPr>
                <w:rFonts w:ascii="Times New Roman" w:cs="Times New Roman" w:eastAsia="Times New Roman" w:hAnsi="Times New Roman"/>
                <w:sz w:val="18"/>
                <w:szCs w:val="18"/>
                <w:color w:val="auto"/>
              </w:rPr>
              <w:t>2</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20" w:type="dxa"/>
            <w:vAlign w:val="bottom"/>
            <w:tcBorders>
              <w:bottom w:val="single" w:sz="8" w:color="9A9A9A"/>
            </w:tcBorders>
          </w:tcPr>
          <w:p>
            <w:pPr>
              <w:spacing w:after="0"/>
              <w:rPr>
                <w:sz w:val="10"/>
                <w:szCs w:val="10"/>
                <w:color w:val="auto"/>
              </w:rPr>
            </w:pPr>
          </w:p>
        </w:tc>
        <w:tc>
          <w:tcPr>
            <w:tcW w:w="94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ind w:left="5260"/>
        <w:spacing w:after="0"/>
        <w:rPr>
          <w:sz w:val="20"/>
          <w:szCs w:val="20"/>
          <w:color w:val="auto"/>
        </w:rPr>
      </w:pPr>
      <w:r>
        <w:rPr>
          <w:rFonts w:ascii="Times New Roman" w:cs="Times New Roman" w:eastAsia="Times New Roman" w:hAnsi="Times New Roman"/>
          <w:sz w:val="18"/>
          <w:szCs w:val="18"/>
          <w:b w:val="1"/>
          <w:bCs w:val="1"/>
          <w:color w:val="006EBF"/>
        </w:rPr>
        <w:t>Glossary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initialisms or acronyms may be used in this document and shall be defined as set forth below:</w:t>
      </w:r>
    </w:p>
    <w:p>
      <w:pPr>
        <w:sectPr>
          <w:pgSz w:w="11900" w:h="16838" w:orient="portrait"/>
          <w:cols w:equalWidth="0" w:num="1">
            <w:col w:w="10119"/>
          </w:cols>
          <w:pgMar w:left="340" w:top="887" w:right="1440" w:bottom="1440" w:gutter="0" w:footer="0" w:header="0"/>
        </w:sect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AKIP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ASU</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AVEK</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CFL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CBD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CEQA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CFD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CNPS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EBITDA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EIR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FTZ</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GAAP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GHG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MV</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NOI</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PEF</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Advance Kern Incentive Program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Accounting Standards Codification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Accounting Standards Update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Antelope Valley East Kern Water Agency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Centennial Founders,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Center for Biological Diversity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California Environmental Quality Act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Community Facilities District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California Native Plant Society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Earnings Before Interest Taxes Depreciation and Amortization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Environmental Impact Report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Foreign Trade Zone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Generally Accepted Accounting Principles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Green House Gas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Mountain Village at Tejon Ranch</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Operating Income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Pastoria Energy Facility, LLC</w:t>
      </w:r>
    </w:p>
    <w:p>
      <w:pPr>
        <w:spacing w:after="0" w:line="23" w:lineRule="exact"/>
        <w:rPr>
          <w:sz w:val="20"/>
          <w:szCs w:val="20"/>
          <w:color w:val="auto"/>
        </w:rPr>
      </w:pPr>
    </w:p>
    <w:p>
      <w:pPr>
        <w:sectPr>
          <w:pgSz w:w="11900" w:h="16838" w:orient="portrait"/>
          <w:cols w:equalWidth="0" w:num="2">
            <w:col w:w="1600" w:space="720"/>
            <w:col w:w="7799"/>
          </w:cols>
          <w:pgMar w:left="340" w:top="887"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RCL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RWA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SOFR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TCWD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TRCC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TRPFFA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WRMWSD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Revolving Credit Line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Tejon Ranch Conservation and Land Use Agreement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Secured Overnight Financing Rate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 Water Project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Tejon-Castac Water District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Tejon Ranch Commerce Center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Tejon Ranch Public Facilities Financing Authority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Wheeler Ridge Maricopa Water Storage District</w:t>
      </w:r>
    </w:p>
    <w:p>
      <w:pPr>
        <w:spacing w:after="0" w:line="200" w:lineRule="exact"/>
        <w:rPr>
          <w:sz w:val="20"/>
          <w:szCs w:val="20"/>
          <w:color w:val="auto"/>
        </w:rPr>
      </w:pPr>
    </w:p>
    <w:p>
      <w:pPr>
        <w:sectPr>
          <w:pgSz w:w="11900" w:h="16838" w:orient="portrait"/>
          <w:cols w:equalWidth="0" w:num="2">
            <w:col w:w="1600" w:space="720"/>
            <w:col w:w="7799"/>
          </w:cols>
          <w:pgMar w:left="340" w:top="88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887" w:right="1440" w:bottom="1440" w:gutter="0" w:footer="0" w:header="0"/>
          <w:type w:val="continuous"/>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bl>
      <w:tblPr>
        <w:tblLayout w:type="fixed"/>
        <w:tblInd w:w="0" w:type="dxa"/>
        <w:tblCellMar>
          <w:top w:w="0" w:type="dxa"/>
          <w:left w:w="0" w:type="dxa"/>
          <w:bottom w:w="0" w:type="dxa"/>
          <w:right w:w="0" w:type="dxa"/>
        </w:tblCellMar>
      </w:tblPr>
      <w:tr>
        <w:trPr>
          <w:trHeight w:val="207"/>
        </w:trPr>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2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3"/>
        </w:trPr>
        <w:tc>
          <w:tcPr>
            <w:tcW w:w="2980" w:type="dxa"/>
            <w:vAlign w:val="bottom"/>
            <w:tcBorders>
              <w:top w:val="single" w:sz="8" w:color="auto"/>
            </w:tcBorders>
          </w:tcPr>
          <w:p>
            <w:pPr>
              <w:spacing w:after="0"/>
              <w:rPr>
                <w:sz w:val="24"/>
                <w:szCs w:val="24"/>
                <w:color w:val="auto"/>
              </w:rPr>
            </w:pPr>
          </w:p>
        </w:tc>
        <w:tc>
          <w:tcPr>
            <w:tcW w:w="4540" w:type="dxa"/>
            <w:vAlign w:val="bottom"/>
            <w:gridSpan w:val="2"/>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rPr>
              <w:t>TEJON RANCH CO. AND SUBSIDIARIES</w:t>
            </w: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980" w:type="dxa"/>
            <w:vAlign w:val="bottom"/>
          </w:tcPr>
          <w:p>
            <w:pPr>
              <w:spacing w:after="0"/>
              <w:rPr>
                <w:sz w:val="19"/>
                <w:szCs w:val="19"/>
                <w:color w:val="auto"/>
              </w:rPr>
            </w:pPr>
          </w:p>
        </w:tc>
        <w:tc>
          <w:tcPr>
            <w:tcW w:w="4280" w:type="dxa"/>
            <w:vAlign w:val="bottom"/>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2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980" w:type="dxa"/>
            <w:vAlign w:val="bottom"/>
          </w:tcPr>
          <w:p>
            <w:pPr>
              <w:spacing w:after="0"/>
              <w:rPr>
                <w:sz w:val="20"/>
                <w:szCs w:val="20"/>
                <w:color w:val="auto"/>
              </w:rPr>
            </w:pPr>
          </w:p>
        </w:tc>
        <w:tc>
          <w:tcPr>
            <w:tcW w:w="4280" w:type="dxa"/>
            <w:vAlign w:val="bottom"/>
          </w:tcPr>
          <w:p>
            <w:pPr>
              <w:jc w:val="center"/>
              <w:ind w:left="910"/>
              <w:spacing w:after="0"/>
              <w:rPr>
                <w:sz w:val="20"/>
                <w:szCs w:val="20"/>
                <w:color w:val="auto"/>
              </w:rPr>
            </w:pPr>
            <w:r>
              <w:rPr>
                <w:rFonts w:ascii="Times New Roman" w:cs="Times New Roman" w:eastAsia="Times New Roman" w:hAnsi="Times New Roman"/>
                <w:sz w:val="18"/>
                <w:szCs w:val="18"/>
                <w:color w:val="auto"/>
                <w:w w:val="99"/>
              </w:rPr>
              <w:t>($ in thousands, except per share data)</w:t>
            </w:r>
          </w:p>
        </w:tc>
        <w:tc>
          <w:tcPr>
            <w:tcW w:w="2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298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March 31, 2024</w:t>
            </w:r>
          </w:p>
        </w:tc>
        <w:tc>
          <w:tcPr>
            <w:tcW w:w="200" w:type="dxa"/>
            <w:vAlign w:val="bottom"/>
          </w:tcPr>
          <w:p>
            <w:pPr>
              <w:spacing w:after="0"/>
              <w:rPr>
                <w:sz w:val="24"/>
                <w:szCs w:val="24"/>
                <w:color w:val="auto"/>
              </w:rPr>
            </w:pPr>
          </w:p>
        </w:tc>
        <w:tc>
          <w:tcPr>
            <w:tcW w:w="17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December 31, 2023</w:t>
            </w:r>
          </w:p>
        </w:tc>
        <w:tc>
          <w:tcPr>
            <w:tcW w:w="0" w:type="dxa"/>
            <w:vAlign w:val="bottom"/>
          </w:tcPr>
          <w:p>
            <w:pPr>
              <w:spacing w:after="0"/>
              <w:rPr>
                <w:sz w:val="1"/>
                <w:szCs w:val="1"/>
                <w:color w:val="auto"/>
              </w:rPr>
            </w:pPr>
          </w:p>
        </w:tc>
      </w:tr>
      <w:tr>
        <w:trPr>
          <w:trHeight w:val="234"/>
        </w:trPr>
        <w:tc>
          <w:tcPr>
            <w:tcW w:w="7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60" w:type="dxa"/>
            <w:vAlign w:val="bottom"/>
          </w:tcPr>
          <w:p>
            <w:pPr>
              <w:spacing w:after="0"/>
              <w:rPr>
                <w:sz w:val="20"/>
                <w:szCs w:val="20"/>
                <w:color w:val="auto"/>
              </w:rPr>
            </w:pPr>
          </w:p>
        </w:tc>
        <w:tc>
          <w:tcPr>
            <w:tcW w:w="17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8"/>
              </w:rPr>
              <w:t>(unaudited)</w:t>
            </w: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7260" w:type="dxa"/>
            <w:vAlign w:val="bottom"/>
            <w:gridSpan w:val="2"/>
            <w:vMerge w:val="continue"/>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2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31,907</w:t>
            </w:r>
          </w:p>
        </w:tc>
        <w:tc>
          <w:tcPr>
            <w:tcW w:w="0" w:type="dxa"/>
            <w:vAlign w:val="bottom"/>
          </w:tcPr>
          <w:p>
            <w:pPr>
              <w:spacing w:after="0"/>
              <w:rPr>
                <w:sz w:val="1"/>
                <w:szCs w:val="1"/>
                <w:color w:val="auto"/>
              </w:rPr>
            </w:pPr>
          </w:p>
        </w:tc>
      </w:tr>
      <w:tr>
        <w:trPr>
          <w:trHeight w:val="229"/>
        </w:trPr>
        <w:tc>
          <w:tcPr>
            <w:tcW w:w="72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Marketable securities - available-for-sale</w:t>
            </w: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32,556</w:t>
            </w:r>
          </w:p>
        </w:tc>
        <w:tc>
          <w:tcPr>
            <w:tcW w:w="0" w:type="dxa"/>
            <w:vAlign w:val="bottom"/>
          </w:tcPr>
          <w:p>
            <w:pPr>
              <w:spacing w:after="0"/>
              <w:rPr>
                <w:sz w:val="1"/>
                <w:szCs w:val="1"/>
                <w:color w:val="auto"/>
              </w:rPr>
            </w:pPr>
          </w:p>
        </w:tc>
      </w:tr>
      <w:tr>
        <w:trPr>
          <w:trHeight w:val="230"/>
        </w:trPr>
        <w:tc>
          <w:tcPr>
            <w:tcW w:w="72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8,352</w:t>
            </w:r>
          </w:p>
        </w:tc>
        <w:tc>
          <w:tcPr>
            <w:tcW w:w="0" w:type="dxa"/>
            <w:vAlign w:val="bottom"/>
          </w:tcPr>
          <w:p>
            <w:pPr>
              <w:spacing w:after="0"/>
              <w:rPr>
                <w:sz w:val="1"/>
                <w:szCs w:val="1"/>
                <w:color w:val="auto"/>
              </w:rPr>
            </w:pPr>
          </w:p>
        </w:tc>
      </w:tr>
      <w:tr>
        <w:trPr>
          <w:trHeight w:val="229"/>
        </w:trPr>
        <w:tc>
          <w:tcPr>
            <w:tcW w:w="72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Inventories</w:t>
            </w: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3,493</w:t>
            </w:r>
          </w:p>
        </w:tc>
        <w:tc>
          <w:tcPr>
            <w:tcW w:w="0" w:type="dxa"/>
            <w:vAlign w:val="bottom"/>
          </w:tcPr>
          <w:p>
            <w:pPr>
              <w:spacing w:after="0"/>
              <w:rPr>
                <w:sz w:val="1"/>
                <w:szCs w:val="1"/>
                <w:color w:val="auto"/>
              </w:rPr>
            </w:pPr>
          </w:p>
        </w:tc>
      </w:tr>
      <w:tr>
        <w:trPr>
          <w:trHeight w:val="230"/>
        </w:trPr>
        <w:tc>
          <w:tcPr>
            <w:tcW w:w="72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3,502</w:t>
            </w:r>
          </w:p>
        </w:tc>
        <w:tc>
          <w:tcPr>
            <w:tcW w:w="0" w:type="dxa"/>
            <w:vAlign w:val="bottom"/>
          </w:tcPr>
          <w:p>
            <w:pPr>
              <w:spacing w:after="0"/>
              <w:rPr>
                <w:sz w:val="1"/>
                <w:szCs w:val="1"/>
                <w:color w:val="auto"/>
              </w:rPr>
            </w:pPr>
          </w:p>
        </w:tc>
      </w:tr>
      <w:tr>
        <w:trPr>
          <w:trHeight w:val="223"/>
        </w:trPr>
        <w:tc>
          <w:tcPr>
            <w:tcW w:w="7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74,663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79,810</w:t>
            </w:r>
          </w:p>
        </w:tc>
        <w:tc>
          <w:tcPr>
            <w:tcW w:w="0" w:type="dxa"/>
            <w:vAlign w:val="bottom"/>
          </w:tcPr>
          <w:p>
            <w:pPr>
              <w:spacing w:after="0"/>
              <w:rPr>
                <w:sz w:val="1"/>
                <w:szCs w:val="1"/>
                <w:color w:val="auto"/>
              </w:rPr>
            </w:pPr>
          </w:p>
        </w:tc>
      </w:tr>
      <w:tr>
        <w:trPr>
          <w:trHeight w:val="230"/>
        </w:trPr>
        <w:tc>
          <w:tcPr>
            <w:tcW w:w="7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 and improvements - held for lease, net</w:t>
            </w: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16,609</w:t>
            </w:r>
          </w:p>
        </w:tc>
        <w:tc>
          <w:tcPr>
            <w:tcW w:w="0" w:type="dxa"/>
            <w:vAlign w:val="bottom"/>
          </w:tcPr>
          <w:p>
            <w:pPr>
              <w:spacing w:after="0"/>
              <w:rPr>
                <w:sz w:val="1"/>
                <w:szCs w:val="1"/>
                <w:color w:val="auto"/>
              </w:rPr>
            </w:pPr>
          </w:p>
        </w:tc>
      </w:tr>
      <w:tr>
        <w:trPr>
          <w:trHeight w:val="184"/>
        </w:trPr>
        <w:tc>
          <w:tcPr>
            <w:tcW w:w="72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Real estate development (includes $121,133 at March 31, 2024 and $119,788 at December 31,</w:t>
            </w:r>
          </w:p>
        </w:tc>
        <w:tc>
          <w:tcPr>
            <w:tcW w:w="2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2023, attributable to CFL, Note 14)</w:t>
            </w:r>
          </w:p>
        </w:tc>
        <w:tc>
          <w:tcPr>
            <w:tcW w:w="2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342,198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337,257</w:t>
            </w:r>
          </w:p>
        </w:tc>
        <w:tc>
          <w:tcPr>
            <w:tcW w:w="0" w:type="dxa"/>
            <w:vAlign w:val="bottom"/>
          </w:tcPr>
          <w:p>
            <w:pPr>
              <w:spacing w:after="0"/>
              <w:rPr>
                <w:sz w:val="1"/>
                <w:szCs w:val="1"/>
                <w:color w:val="auto"/>
              </w:rPr>
            </w:pPr>
          </w:p>
        </w:tc>
      </w:tr>
      <w:tr>
        <w:trPr>
          <w:trHeight w:val="229"/>
        </w:trPr>
        <w:tc>
          <w:tcPr>
            <w:tcW w:w="7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55,172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53,985</w:t>
            </w:r>
          </w:p>
        </w:tc>
        <w:tc>
          <w:tcPr>
            <w:tcW w:w="0" w:type="dxa"/>
            <w:vAlign w:val="bottom"/>
          </w:tcPr>
          <w:p>
            <w:pPr>
              <w:spacing w:after="0"/>
              <w:rPr>
                <w:sz w:val="1"/>
                <w:szCs w:val="1"/>
                <w:color w:val="auto"/>
              </w:rPr>
            </w:pPr>
          </w:p>
        </w:tc>
      </w:tr>
      <w:tr>
        <w:trPr>
          <w:trHeight w:val="229"/>
        </w:trPr>
        <w:tc>
          <w:tcPr>
            <w:tcW w:w="7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Investments in unconsolidated joint ventures</w:t>
            </w: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30,075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33,648</w:t>
            </w:r>
          </w:p>
        </w:tc>
        <w:tc>
          <w:tcPr>
            <w:tcW w:w="0" w:type="dxa"/>
            <w:vAlign w:val="bottom"/>
          </w:tcPr>
          <w:p>
            <w:pPr>
              <w:spacing w:after="0"/>
              <w:rPr>
                <w:sz w:val="1"/>
                <w:szCs w:val="1"/>
                <w:color w:val="auto"/>
              </w:rPr>
            </w:pPr>
          </w:p>
        </w:tc>
      </w:tr>
      <w:tr>
        <w:trPr>
          <w:trHeight w:val="230"/>
        </w:trPr>
        <w:tc>
          <w:tcPr>
            <w:tcW w:w="7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 water assets</w:t>
            </w: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52,130</w:t>
            </w:r>
          </w:p>
        </w:tc>
        <w:tc>
          <w:tcPr>
            <w:tcW w:w="0" w:type="dxa"/>
            <w:vAlign w:val="bottom"/>
          </w:tcPr>
          <w:p>
            <w:pPr>
              <w:spacing w:after="0"/>
              <w:rPr>
                <w:sz w:val="1"/>
                <w:szCs w:val="1"/>
                <w:color w:val="auto"/>
              </w:rPr>
            </w:pPr>
          </w:p>
        </w:tc>
      </w:tr>
      <w:tr>
        <w:trPr>
          <w:trHeight w:val="229"/>
        </w:trPr>
        <w:tc>
          <w:tcPr>
            <w:tcW w:w="7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4,084</w:t>
            </w:r>
          </w:p>
        </w:tc>
        <w:tc>
          <w:tcPr>
            <w:tcW w:w="0" w:type="dxa"/>
            <w:vAlign w:val="bottom"/>
          </w:tcPr>
          <w:p>
            <w:pPr>
              <w:spacing w:after="0"/>
              <w:rPr>
                <w:sz w:val="1"/>
                <w:szCs w:val="1"/>
                <w:color w:val="auto"/>
              </w:rPr>
            </w:pPr>
          </w:p>
        </w:tc>
      </w:tr>
      <w:tr>
        <w:trPr>
          <w:trHeight w:val="248"/>
        </w:trPr>
        <w:tc>
          <w:tcPr>
            <w:tcW w:w="7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581,631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577,523</w:t>
            </w:r>
          </w:p>
        </w:tc>
        <w:tc>
          <w:tcPr>
            <w:tcW w:w="0" w:type="dxa"/>
            <w:vAlign w:val="bottom"/>
          </w:tcPr>
          <w:p>
            <w:pPr>
              <w:spacing w:after="0"/>
              <w:rPr>
                <w:sz w:val="1"/>
                <w:szCs w:val="1"/>
                <w:color w:val="auto"/>
              </w:rPr>
            </w:pPr>
          </w:p>
        </w:tc>
      </w:tr>
      <w:tr>
        <w:trPr>
          <w:trHeight w:val="20"/>
        </w:trPr>
        <w:tc>
          <w:tcPr>
            <w:tcW w:w="726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980" w:type="dxa"/>
            <w:vAlign w:val="bottom"/>
          </w:tcPr>
          <w:p>
            <w:pPr>
              <w:spacing w:after="0"/>
              <w:rPr>
                <w:sz w:val="8"/>
                <w:szCs w:val="8"/>
                <w:color w:val="auto"/>
              </w:rPr>
            </w:pPr>
          </w:p>
        </w:tc>
        <w:tc>
          <w:tcPr>
            <w:tcW w:w="4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7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 AND EQUITY</w:t>
            </w: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Trade accounts payable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6,457</w:t>
            </w:r>
          </w:p>
        </w:tc>
        <w:tc>
          <w:tcPr>
            <w:tcW w:w="0" w:type="dxa"/>
            <w:vAlign w:val="bottom"/>
          </w:tcPr>
          <w:p>
            <w:pPr>
              <w:spacing w:after="0"/>
              <w:rPr>
                <w:sz w:val="1"/>
                <w:szCs w:val="1"/>
                <w:color w:val="auto"/>
              </w:rPr>
            </w:pPr>
          </w:p>
        </w:tc>
      </w:tr>
      <w:tr>
        <w:trPr>
          <w:trHeight w:val="230"/>
        </w:trPr>
        <w:tc>
          <w:tcPr>
            <w:tcW w:w="72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Accrued liabilities and other</w:t>
            </w: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3,214</w:t>
            </w:r>
          </w:p>
        </w:tc>
        <w:tc>
          <w:tcPr>
            <w:tcW w:w="0" w:type="dxa"/>
            <w:vAlign w:val="bottom"/>
          </w:tcPr>
          <w:p>
            <w:pPr>
              <w:spacing w:after="0"/>
              <w:rPr>
                <w:sz w:val="1"/>
                <w:szCs w:val="1"/>
                <w:color w:val="auto"/>
              </w:rPr>
            </w:pPr>
          </w:p>
        </w:tc>
      </w:tr>
      <w:tr>
        <w:trPr>
          <w:trHeight w:val="230"/>
        </w:trPr>
        <w:tc>
          <w:tcPr>
            <w:tcW w:w="72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Deferred income</w:t>
            </w:r>
          </w:p>
        </w:tc>
        <w:tc>
          <w:tcPr>
            <w:tcW w:w="26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w:t>
            </w:r>
          </w:p>
        </w:tc>
        <w:tc>
          <w:tcPr>
            <w:tcW w:w="0" w:type="dxa"/>
            <w:vAlign w:val="bottom"/>
          </w:tcPr>
          <w:p>
            <w:pPr>
              <w:spacing w:after="0"/>
              <w:rPr>
                <w:sz w:val="1"/>
                <w:szCs w:val="1"/>
                <w:color w:val="auto"/>
              </w:rPr>
            </w:pPr>
          </w:p>
        </w:tc>
      </w:tr>
      <w:tr>
        <w:trPr>
          <w:trHeight w:val="223"/>
        </w:trPr>
        <w:tc>
          <w:tcPr>
            <w:tcW w:w="7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11,562</w:t>
            </w:r>
          </w:p>
        </w:tc>
        <w:tc>
          <w:tcPr>
            <w:tcW w:w="0" w:type="dxa"/>
            <w:vAlign w:val="bottom"/>
          </w:tcPr>
          <w:p>
            <w:pPr>
              <w:spacing w:after="0"/>
              <w:rPr>
                <w:sz w:val="1"/>
                <w:szCs w:val="1"/>
                <w:color w:val="auto"/>
              </w:rPr>
            </w:pPr>
          </w:p>
        </w:tc>
      </w:tr>
      <w:tr>
        <w:trPr>
          <w:trHeight w:val="229"/>
        </w:trPr>
        <w:tc>
          <w:tcPr>
            <w:tcW w:w="7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line of credit</w:t>
            </w: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47,942</w:t>
            </w:r>
          </w:p>
        </w:tc>
        <w:tc>
          <w:tcPr>
            <w:tcW w:w="0" w:type="dxa"/>
            <w:vAlign w:val="bottom"/>
          </w:tcPr>
          <w:p>
            <w:pPr>
              <w:spacing w:after="0"/>
              <w:rPr>
                <w:sz w:val="1"/>
                <w:szCs w:val="1"/>
                <w:color w:val="auto"/>
              </w:rPr>
            </w:pPr>
          </w:p>
        </w:tc>
      </w:tr>
      <w:tr>
        <w:trPr>
          <w:trHeight w:val="230"/>
        </w:trPr>
        <w:tc>
          <w:tcPr>
            <w:tcW w:w="7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deferred gains</w:t>
            </w: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11,447</w:t>
            </w:r>
          </w:p>
        </w:tc>
        <w:tc>
          <w:tcPr>
            <w:tcW w:w="0" w:type="dxa"/>
            <w:vAlign w:val="bottom"/>
          </w:tcPr>
          <w:p>
            <w:pPr>
              <w:spacing w:after="0"/>
              <w:rPr>
                <w:sz w:val="1"/>
                <w:szCs w:val="1"/>
                <w:color w:val="auto"/>
              </w:rPr>
            </w:pPr>
          </w:p>
        </w:tc>
      </w:tr>
      <w:tr>
        <w:trPr>
          <w:trHeight w:val="230"/>
        </w:trPr>
        <w:tc>
          <w:tcPr>
            <w:tcW w:w="7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liability</w:t>
            </w: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8,269</w:t>
            </w:r>
          </w:p>
        </w:tc>
        <w:tc>
          <w:tcPr>
            <w:tcW w:w="0" w:type="dxa"/>
            <w:vAlign w:val="bottom"/>
          </w:tcPr>
          <w:p>
            <w:pPr>
              <w:spacing w:after="0"/>
              <w:rPr>
                <w:sz w:val="1"/>
                <w:szCs w:val="1"/>
                <w:color w:val="auto"/>
              </w:rPr>
            </w:pPr>
          </w:p>
        </w:tc>
      </w:tr>
      <w:tr>
        <w:trPr>
          <w:trHeight w:val="230"/>
        </w:trPr>
        <w:tc>
          <w:tcPr>
            <w:tcW w:w="7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15,894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15,207</w:t>
            </w:r>
          </w:p>
        </w:tc>
        <w:tc>
          <w:tcPr>
            <w:tcW w:w="0" w:type="dxa"/>
            <w:vAlign w:val="bottom"/>
          </w:tcPr>
          <w:p>
            <w:pPr>
              <w:spacing w:after="0"/>
              <w:rPr>
                <w:sz w:val="1"/>
                <w:szCs w:val="1"/>
                <w:color w:val="auto"/>
              </w:rPr>
            </w:pPr>
          </w:p>
        </w:tc>
      </w:tr>
      <w:tr>
        <w:trPr>
          <w:trHeight w:val="223"/>
        </w:trPr>
        <w:tc>
          <w:tcPr>
            <w:tcW w:w="72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94,427</w:t>
            </w:r>
          </w:p>
        </w:tc>
        <w:tc>
          <w:tcPr>
            <w:tcW w:w="0" w:type="dxa"/>
            <w:vAlign w:val="bottom"/>
          </w:tcPr>
          <w:p>
            <w:pPr>
              <w:spacing w:after="0"/>
              <w:rPr>
                <w:sz w:val="1"/>
                <w:szCs w:val="1"/>
                <w:color w:val="auto"/>
              </w:rPr>
            </w:pPr>
          </w:p>
        </w:tc>
      </w:tr>
      <w:tr>
        <w:trPr>
          <w:trHeight w:val="230"/>
        </w:trPr>
        <w:tc>
          <w:tcPr>
            <w:tcW w:w="7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11)</w:t>
            </w:r>
          </w:p>
        </w:tc>
        <w:tc>
          <w:tcPr>
            <w:tcW w:w="2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Tejon Ranch Co. Stockholders’ Equity</w:t>
            </w:r>
          </w:p>
        </w:tc>
        <w:tc>
          <w:tcPr>
            <w:tcW w:w="2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Common stock, $0.50 par value per share:</w:t>
            </w: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Authorized shares - 50,000,000</w:t>
            </w:r>
          </w:p>
        </w:tc>
        <w:tc>
          <w:tcPr>
            <w:tcW w:w="2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726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Issued and outstanding shares - 26,797,440 at March 31, 2024 and 26,770,545 at December 31,</w:t>
            </w:r>
          </w:p>
        </w:tc>
        <w:tc>
          <w:tcPr>
            <w:tcW w:w="26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4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13,386</w:t>
            </w:r>
          </w:p>
        </w:tc>
        <w:tc>
          <w:tcPr>
            <w:tcW w:w="0" w:type="dxa"/>
            <w:vAlign w:val="bottom"/>
          </w:tcPr>
          <w:p>
            <w:pPr>
              <w:spacing w:after="0"/>
              <w:rPr>
                <w:sz w:val="1"/>
                <w:szCs w:val="1"/>
                <w:color w:val="auto"/>
              </w:rPr>
            </w:pPr>
          </w:p>
        </w:tc>
      </w:tr>
      <w:tr>
        <w:trPr>
          <w:trHeight w:val="230"/>
        </w:trPr>
        <w:tc>
          <w:tcPr>
            <w:tcW w:w="72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346,141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345,609</w:t>
            </w:r>
          </w:p>
        </w:tc>
        <w:tc>
          <w:tcPr>
            <w:tcW w:w="0" w:type="dxa"/>
            <w:vAlign w:val="bottom"/>
          </w:tcPr>
          <w:p>
            <w:pPr>
              <w:spacing w:after="0"/>
              <w:rPr>
                <w:sz w:val="1"/>
                <w:szCs w:val="1"/>
                <w:color w:val="auto"/>
              </w:rPr>
            </w:pPr>
          </w:p>
        </w:tc>
      </w:tr>
      <w:tr>
        <w:trPr>
          <w:trHeight w:val="230"/>
        </w:trPr>
        <w:tc>
          <w:tcPr>
            <w:tcW w:w="72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29"/>
        </w:trPr>
        <w:tc>
          <w:tcPr>
            <w:tcW w:w="7260" w:type="dxa"/>
            <w:vAlign w:val="bottom"/>
            <w:tcBorders>
              <w:bottom w:val="single" w:sz="8" w:color="CCEEFF"/>
            </w:tcBorders>
            <w:gridSpan w:val="2"/>
          </w:tcPr>
          <w:p>
            <w:pPr>
              <w:ind w:left="680"/>
              <w:spacing w:after="0"/>
              <w:rPr>
                <w:sz w:val="20"/>
                <w:szCs w:val="20"/>
                <w:color w:val="auto"/>
              </w:rPr>
            </w:pPr>
            <w:r>
              <w:rPr>
                <w:rFonts w:ascii="Times New Roman" w:cs="Times New Roman" w:eastAsia="Times New Roman" w:hAnsi="Times New Roman"/>
                <w:sz w:val="18"/>
                <w:szCs w:val="18"/>
                <w:color w:val="auto"/>
              </w:rPr>
              <w:t>Retained earnings</w:t>
            </w:r>
          </w:p>
        </w:tc>
        <w:tc>
          <w:tcPr>
            <w:tcW w:w="2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107,994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108,908</w:t>
            </w:r>
          </w:p>
        </w:tc>
        <w:tc>
          <w:tcPr>
            <w:tcW w:w="0" w:type="dxa"/>
            <w:vAlign w:val="bottom"/>
          </w:tcPr>
          <w:p>
            <w:pPr>
              <w:spacing w:after="0"/>
              <w:rPr>
                <w:sz w:val="1"/>
                <w:szCs w:val="1"/>
                <w:color w:val="auto"/>
              </w:rPr>
            </w:pPr>
          </w:p>
        </w:tc>
      </w:tr>
      <w:tr>
        <w:trPr>
          <w:trHeight w:val="223"/>
        </w:trPr>
        <w:tc>
          <w:tcPr>
            <w:tcW w:w="72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Tejon Ranch Co. Stockholders’ Equity</w:t>
            </w: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467,358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467,732</w:t>
            </w:r>
          </w:p>
        </w:tc>
        <w:tc>
          <w:tcPr>
            <w:tcW w:w="0" w:type="dxa"/>
            <w:vAlign w:val="bottom"/>
          </w:tcPr>
          <w:p>
            <w:pPr>
              <w:spacing w:after="0"/>
              <w:rPr>
                <w:sz w:val="1"/>
                <w:szCs w:val="1"/>
                <w:color w:val="auto"/>
              </w:rPr>
            </w:pPr>
          </w:p>
        </w:tc>
      </w:tr>
      <w:tr>
        <w:trPr>
          <w:trHeight w:val="230"/>
        </w:trPr>
        <w:tc>
          <w:tcPr>
            <w:tcW w:w="726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Non-controlling interest</w:t>
            </w:r>
          </w:p>
        </w:tc>
        <w:tc>
          <w:tcPr>
            <w:tcW w:w="2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15,364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15,364</w:t>
            </w:r>
          </w:p>
        </w:tc>
        <w:tc>
          <w:tcPr>
            <w:tcW w:w="0" w:type="dxa"/>
            <w:vAlign w:val="bottom"/>
          </w:tcPr>
          <w:p>
            <w:pPr>
              <w:spacing w:after="0"/>
              <w:rPr>
                <w:sz w:val="1"/>
                <w:szCs w:val="1"/>
                <w:color w:val="auto"/>
              </w:rPr>
            </w:pPr>
          </w:p>
        </w:tc>
      </w:tr>
      <w:tr>
        <w:trPr>
          <w:trHeight w:val="223"/>
        </w:trPr>
        <w:tc>
          <w:tcPr>
            <w:tcW w:w="7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equity</w:t>
            </w:r>
          </w:p>
        </w:tc>
        <w:tc>
          <w:tcPr>
            <w:tcW w:w="26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482,722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483,096</w:t>
            </w:r>
          </w:p>
        </w:tc>
        <w:tc>
          <w:tcPr>
            <w:tcW w:w="0" w:type="dxa"/>
            <w:vAlign w:val="bottom"/>
          </w:tcPr>
          <w:p>
            <w:pPr>
              <w:spacing w:after="0"/>
              <w:rPr>
                <w:sz w:val="1"/>
                <w:szCs w:val="1"/>
                <w:color w:val="auto"/>
              </w:rPr>
            </w:pPr>
          </w:p>
        </w:tc>
      </w:tr>
      <w:tr>
        <w:trPr>
          <w:trHeight w:val="223"/>
        </w:trPr>
        <w:tc>
          <w:tcPr>
            <w:tcW w:w="7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581,631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577,523</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TEJON RANCH CO.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in thousands, except per share amounts)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40" w:type="dxa"/>
            <w:vAlign w:val="bottom"/>
          </w:tcPr>
          <w:p>
            <w:pPr>
              <w:spacing w:after="0"/>
              <w:rPr>
                <w:sz w:val="20"/>
                <w:szCs w:val="20"/>
                <w:color w:val="auto"/>
              </w:rPr>
            </w:pPr>
          </w:p>
        </w:tc>
        <w:tc>
          <w:tcPr>
            <w:tcW w:w="3360" w:type="dxa"/>
            <w:vAlign w:val="bottom"/>
            <w:tcBorders>
              <w:bottom w:val="single" w:sz="8" w:color="auto"/>
            </w:tcBorders>
            <w:gridSpan w:val="5"/>
          </w:tcPr>
          <w:p>
            <w:pPr>
              <w:jc w:val="right"/>
              <w:ind w:right="43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0" w:type="dxa"/>
            <w:vAlign w:val="bottom"/>
          </w:tcPr>
          <w:p>
            <w:pPr>
              <w:spacing w:after="0"/>
              <w:rPr>
                <w:sz w:val="1"/>
                <w:szCs w:val="1"/>
                <w:color w:val="auto"/>
              </w:rPr>
            </w:pPr>
          </w:p>
        </w:tc>
      </w:tr>
      <w:tr>
        <w:trPr>
          <w:trHeight w:val="223"/>
        </w:trPr>
        <w:tc>
          <w:tcPr>
            <w:tcW w:w="78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6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10"/>
        </w:trPr>
        <w:tc>
          <w:tcPr>
            <w:tcW w:w="784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Real estate - commercial/industrial</w:t>
            </w:r>
          </w:p>
        </w:tc>
        <w:tc>
          <w:tcPr>
            <w:tcW w:w="104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2,676</w:t>
            </w:r>
          </w:p>
        </w:tc>
        <w:tc>
          <w:tcPr>
            <w:tcW w:w="0" w:type="dxa"/>
            <w:vAlign w:val="bottom"/>
          </w:tcPr>
          <w:p>
            <w:pPr>
              <w:spacing w:after="0"/>
              <w:rPr>
                <w:sz w:val="1"/>
                <w:szCs w:val="1"/>
                <w:color w:val="auto"/>
              </w:rPr>
            </w:pPr>
          </w:p>
        </w:tc>
      </w:tr>
      <w:tr>
        <w:trPr>
          <w:trHeight w:val="229"/>
        </w:trPr>
        <w:tc>
          <w:tcPr>
            <w:tcW w:w="7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Mineral resources</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6,912</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Farming</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0" w:type="dxa"/>
            <w:vAlign w:val="bottom"/>
          </w:tcPr>
          <w:p>
            <w:pPr>
              <w:spacing w:after="0"/>
              <w:rPr>
                <w:sz w:val="1"/>
                <w:szCs w:val="1"/>
                <w:color w:val="auto"/>
              </w:rPr>
            </w:pPr>
          </w:p>
        </w:tc>
      </w:tr>
      <w:tr>
        <w:trPr>
          <w:trHeight w:val="229"/>
        </w:trPr>
        <w:tc>
          <w:tcPr>
            <w:tcW w:w="78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Ranch operations</w:t>
            </w: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0" w:type="dxa"/>
            <w:vAlign w:val="bottom"/>
          </w:tcPr>
          <w:p>
            <w:pPr>
              <w:spacing w:after="0"/>
              <w:rPr>
                <w:sz w:val="1"/>
                <w:szCs w:val="1"/>
                <w:color w:val="auto"/>
              </w:rPr>
            </w:pPr>
          </w:p>
        </w:tc>
      </w:tr>
      <w:tr>
        <w:trPr>
          <w:trHeight w:val="223"/>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revenues</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12,265</w:t>
            </w:r>
          </w:p>
        </w:tc>
        <w:tc>
          <w:tcPr>
            <w:tcW w:w="0" w:type="dxa"/>
            <w:vAlign w:val="bottom"/>
          </w:tcPr>
          <w:p>
            <w:pPr>
              <w:spacing w:after="0"/>
              <w:rPr>
                <w:sz w:val="1"/>
                <w:szCs w:val="1"/>
                <w:color w:val="auto"/>
              </w:rPr>
            </w:pP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10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Real estate - commercial/industrial</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w:t>
            </w:r>
          </w:p>
        </w:tc>
        <w:tc>
          <w:tcPr>
            <w:tcW w:w="0" w:type="dxa"/>
            <w:vAlign w:val="bottom"/>
          </w:tcPr>
          <w:p>
            <w:pPr>
              <w:spacing w:after="0"/>
              <w:rPr>
                <w:sz w:val="1"/>
                <w:szCs w:val="1"/>
                <w:color w:val="auto"/>
              </w:rPr>
            </w:pPr>
          </w:p>
        </w:tc>
      </w:tr>
      <w:tr>
        <w:trPr>
          <w:trHeight w:val="230"/>
        </w:trPr>
        <w:tc>
          <w:tcPr>
            <w:tcW w:w="7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Real estate - resort/residential</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Mineral resources</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4,066</w:t>
            </w:r>
          </w:p>
        </w:tc>
        <w:tc>
          <w:tcPr>
            <w:tcW w:w="0" w:type="dxa"/>
            <w:vAlign w:val="bottom"/>
          </w:tcPr>
          <w:p>
            <w:pPr>
              <w:spacing w:after="0"/>
              <w:rPr>
                <w:sz w:val="1"/>
                <w:szCs w:val="1"/>
                <w:color w:val="auto"/>
              </w:rPr>
            </w:pPr>
          </w:p>
        </w:tc>
      </w:tr>
      <w:tr>
        <w:trPr>
          <w:trHeight w:val="230"/>
        </w:trPr>
        <w:tc>
          <w:tcPr>
            <w:tcW w:w="7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Farming</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Ranch operations</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0" w:type="dxa"/>
            <w:vAlign w:val="bottom"/>
          </w:tcPr>
          <w:p>
            <w:pPr>
              <w:spacing w:after="0"/>
              <w:rPr>
                <w:sz w:val="1"/>
                <w:szCs w:val="1"/>
                <w:color w:val="auto"/>
              </w:rPr>
            </w:pPr>
          </w:p>
        </w:tc>
      </w:tr>
      <w:tr>
        <w:trPr>
          <w:trHeight w:val="229"/>
        </w:trPr>
        <w:tc>
          <w:tcPr>
            <w:tcW w:w="78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Corporate expenses</w:t>
            </w: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2,287</w:t>
            </w:r>
          </w:p>
        </w:tc>
        <w:tc>
          <w:tcPr>
            <w:tcW w:w="0" w:type="dxa"/>
            <w:vAlign w:val="bottom"/>
          </w:tcPr>
          <w:p>
            <w:pPr>
              <w:spacing w:after="0"/>
              <w:rPr>
                <w:sz w:val="1"/>
                <w:szCs w:val="1"/>
                <w:color w:val="auto"/>
              </w:rPr>
            </w:pPr>
          </w:p>
        </w:tc>
      </w:tr>
      <w:tr>
        <w:trPr>
          <w:trHeight w:val="223"/>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expenses</w:t>
            </w:r>
          </w:p>
        </w:tc>
        <w:tc>
          <w:tcPr>
            <w:tcW w:w="10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11,779</w:t>
            </w:r>
          </w:p>
        </w:tc>
        <w:tc>
          <w:tcPr>
            <w:tcW w:w="0" w:type="dxa"/>
            <w:vAlign w:val="bottom"/>
          </w:tcPr>
          <w:p>
            <w:pPr>
              <w:spacing w:after="0"/>
              <w:rPr>
                <w:sz w:val="1"/>
                <w:szCs w:val="1"/>
                <w:color w:val="auto"/>
              </w:rPr>
            </w:pPr>
          </w:p>
        </w:tc>
      </w:tr>
      <w:tr>
        <w:trPr>
          <w:trHeight w:val="22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 income</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(Loss):</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Investment income</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(loss) income, net</w:t>
            </w:r>
          </w:p>
        </w:tc>
        <w:tc>
          <w:tcPr>
            <w:tcW w:w="10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0" w:type="dxa"/>
            <w:vAlign w:val="bottom"/>
          </w:tcPr>
          <w:p>
            <w:pPr>
              <w:spacing w:after="0"/>
              <w:rPr>
                <w:sz w:val="1"/>
                <w:szCs w:val="1"/>
                <w:color w:val="auto"/>
              </w:rPr>
            </w:pPr>
          </w:p>
        </w:tc>
      </w:tr>
      <w:tr>
        <w:trPr>
          <w:trHeight w:val="223"/>
        </w:trPr>
        <w:tc>
          <w:tcPr>
            <w:tcW w:w="78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other income</w:t>
            </w: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0" w:type="dxa"/>
            <w:vAlign w:val="bottom"/>
          </w:tcPr>
          <w:p>
            <w:pPr>
              <w:spacing w:after="0"/>
              <w:rPr>
                <w:sz w:val="1"/>
                <w:szCs w:val="1"/>
                <w:color w:val="auto"/>
              </w:rPr>
            </w:pPr>
          </w:p>
        </w:tc>
      </w:tr>
      <w:tr>
        <w:trPr>
          <w:trHeight w:val="22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income from operations before equity in earnings of unconsolidated joint ventures and income tax</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0" w:type="dxa"/>
            <w:vAlign w:val="bottom"/>
          </w:tcPr>
          <w:p>
            <w:pPr>
              <w:spacing w:after="0"/>
              <w:rPr>
                <w:sz w:val="1"/>
                <w:szCs w:val="1"/>
                <w:color w:val="auto"/>
              </w:rPr>
            </w:pPr>
          </w:p>
        </w:tc>
      </w:tr>
      <w:tr>
        <w:trPr>
          <w:trHeight w:val="229"/>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Equity in earnings of unconsolidated joint ventures, net</w:t>
            </w: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1,517</w:t>
            </w:r>
          </w:p>
        </w:tc>
        <w:tc>
          <w:tcPr>
            <w:tcW w:w="0" w:type="dxa"/>
            <w:vAlign w:val="bottom"/>
          </w:tcPr>
          <w:p>
            <w:pPr>
              <w:spacing w:after="0"/>
              <w:rPr>
                <w:sz w:val="1"/>
                <w:szCs w:val="1"/>
                <w:color w:val="auto"/>
              </w:rPr>
            </w:pPr>
          </w:p>
        </w:tc>
      </w:tr>
      <w:tr>
        <w:trPr>
          <w:trHeight w:val="22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income before income tax expense</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2,793</w:t>
            </w:r>
          </w:p>
        </w:tc>
        <w:tc>
          <w:tcPr>
            <w:tcW w:w="0" w:type="dxa"/>
            <w:vAlign w:val="bottom"/>
          </w:tcPr>
          <w:p>
            <w:pPr>
              <w:spacing w:after="0"/>
              <w:rPr>
                <w:sz w:val="1"/>
                <w:szCs w:val="1"/>
                <w:color w:val="auto"/>
              </w:rPr>
            </w:pPr>
          </w:p>
        </w:tc>
      </w:tr>
      <w:tr>
        <w:trPr>
          <w:trHeight w:val="230"/>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0" w:type="dxa"/>
            <w:vAlign w:val="bottom"/>
          </w:tcPr>
          <w:p>
            <w:pPr>
              <w:spacing w:after="0"/>
              <w:rPr>
                <w:sz w:val="1"/>
                <w:szCs w:val="1"/>
                <w:color w:val="auto"/>
              </w:rPr>
            </w:pPr>
          </w:p>
        </w:tc>
      </w:tr>
      <w:tr>
        <w:trPr>
          <w:trHeight w:val="22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0" w:type="dxa"/>
            <w:vAlign w:val="bottom"/>
          </w:tcPr>
          <w:p>
            <w:pPr>
              <w:spacing w:after="0"/>
              <w:rPr>
                <w:sz w:val="1"/>
                <w:szCs w:val="1"/>
                <w:color w:val="auto"/>
              </w:rPr>
            </w:pP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104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48"/>
        </w:trPr>
        <w:tc>
          <w:tcPr>
            <w:tcW w:w="7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 attributable to common stockholders</w:t>
            </w:r>
          </w:p>
        </w:tc>
        <w:tc>
          <w:tcPr>
            <w:tcW w:w="1040" w:type="dxa"/>
            <w:vAlign w:val="bottom"/>
            <w:tcBorders>
              <w:top w:val="single" w:sz="8" w:color="auto"/>
              <w:bottom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(loss) income per share attributable to common stockholders, basic</w:t>
            </w: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840" w:type="dxa"/>
            <w:vAlign w:val="bottom"/>
            <w:vMerge w:val="continue"/>
          </w:tcPr>
          <w:p>
            <w:pPr>
              <w:spacing w:after="0"/>
              <w:rPr>
                <w:sz w:val="17"/>
                <w:szCs w:val="17"/>
                <w:color w:val="auto"/>
              </w:rPr>
            </w:pPr>
          </w:p>
        </w:tc>
        <w:tc>
          <w:tcPr>
            <w:tcW w:w="1040" w:type="dxa"/>
            <w:vAlign w:val="bottom"/>
            <w:tcBorders>
              <w:bottom w:val="single" w:sz="8" w:color="auto"/>
            </w:tcBorders>
          </w:tcPr>
          <w:p>
            <w:pPr>
              <w:jc w:val="right"/>
              <w:ind w:right="8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(0.03)</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 per share attributable to common stockholders, diluted</w:t>
            </w: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130" w:right="359" w:bottom="1440" w:gutter="0" w:footer="0" w:header="0"/>
        </w:sectPr>
      </w:pPr>
    </w:p>
    <w:bookmarkStart w:id="5" w:name="page6"/>
    <w:bookmarkEnd w:id="5"/>
    <w:p>
      <w:pPr>
        <w:jc w:val="center"/>
        <w:ind w:left="360" w:right="2300"/>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TEJON RANCH CO. AND SUBSIDIARIES UNAUDITED CONSOLIDATED STATEMENTS OF COMPREHENSIVE INCOME </w:t>
      </w:r>
      <w:r>
        <w:rPr>
          <w:rFonts w:ascii="Times New Roman" w:cs="Times New Roman" w:eastAsia="Times New Roman" w:hAnsi="Times New Roman"/>
          <w:sz w:val="18"/>
          <w:szCs w:val="18"/>
          <w:color w:val="auto"/>
        </w:rPr>
        <w:t>(In thousands)</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0" w:type="dxa"/>
            <w:vAlign w:val="bottom"/>
          </w:tcPr>
          <w:p>
            <w:pPr>
              <w:spacing w:after="0"/>
              <w:rPr>
                <w:sz w:val="20"/>
                <w:szCs w:val="20"/>
                <w:color w:val="auto"/>
              </w:rPr>
            </w:pPr>
          </w:p>
        </w:tc>
        <w:tc>
          <w:tcPr>
            <w:tcW w:w="29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500" w:type="dxa"/>
            <w:vAlign w:val="bottom"/>
            <w:tcBorders>
              <w:bottom w:val="single" w:sz="8" w:color="auto"/>
            </w:tcBorders>
          </w:tcPr>
          <w:p>
            <w:pPr>
              <w:spacing w:after="0"/>
              <w:rPr>
                <w:sz w:val="20"/>
                <w:szCs w:val="20"/>
                <w:color w:val="auto"/>
              </w:rPr>
            </w:pPr>
          </w:p>
        </w:tc>
      </w:tr>
      <w:tr>
        <w:trPr>
          <w:trHeight w:val="223"/>
        </w:trPr>
        <w:tc>
          <w:tcPr>
            <w:tcW w:w="78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2024</w:t>
            </w: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2023</w:t>
            </w:r>
          </w:p>
        </w:tc>
        <w:tc>
          <w:tcPr>
            <w:tcW w:w="500" w:type="dxa"/>
            <w:vAlign w:val="bottom"/>
            <w:tcBorders>
              <w:bottom w:val="single" w:sz="8" w:color="auto"/>
            </w:tcBorders>
          </w:tcPr>
          <w:p>
            <w:pPr>
              <w:spacing w:after="0"/>
              <w:rPr>
                <w:sz w:val="19"/>
                <w:szCs w:val="19"/>
                <w:color w:val="auto"/>
              </w:rPr>
            </w:pPr>
          </w:p>
        </w:tc>
      </w:tr>
      <w:tr>
        <w:trPr>
          <w:trHeight w:val="22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112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w:t>
            </w:r>
          </w:p>
        </w:tc>
      </w:tr>
      <w:tr>
        <w:trPr>
          <w:trHeight w:val="229"/>
        </w:trPr>
        <w:tc>
          <w:tcPr>
            <w:tcW w:w="7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230"/>
        </w:trPr>
        <w:tc>
          <w:tcPr>
            <w:tcW w:w="7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Unrealized (loss) gain on available-for-sale securities</w:t>
            </w:r>
          </w:p>
        </w:tc>
        <w:tc>
          <w:tcPr>
            <w:tcW w:w="11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29"/>
        </w:trPr>
        <w:tc>
          <w:tcPr>
            <w:tcW w:w="7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Unrealized loss on interest rate swap</w:t>
            </w:r>
          </w:p>
        </w:tc>
        <w:tc>
          <w:tcPr>
            <w:tcW w:w="112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r>
      <w:tr>
        <w:trPr>
          <w:trHeight w:val="223"/>
        </w:trPr>
        <w:tc>
          <w:tcPr>
            <w:tcW w:w="78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comprehensive loss before taxes</w:t>
            </w:r>
          </w:p>
        </w:tc>
        <w:tc>
          <w:tcPr>
            <w:tcW w:w="112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r>
      <w:tr>
        <w:trPr>
          <w:trHeight w:val="229"/>
        </w:trPr>
        <w:tc>
          <w:tcPr>
            <w:tcW w:w="780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Income tax benefit related to other comprehensive income items</w:t>
            </w:r>
          </w:p>
        </w:tc>
        <w:tc>
          <w:tcPr>
            <w:tcW w:w="1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23"/>
        </w:trPr>
        <w:tc>
          <w:tcPr>
            <w:tcW w:w="7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1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 income</w:t>
            </w:r>
          </w:p>
        </w:tc>
        <w:tc>
          <w:tcPr>
            <w:tcW w:w="1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w:t>
            </w: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non-controlling interests</w:t>
            </w:r>
          </w:p>
        </w:tc>
        <w:tc>
          <w:tcPr>
            <w:tcW w:w="11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 income attributable to common stockholders</w:t>
            </w:r>
          </w:p>
        </w:tc>
        <w:tc>
          <w:tcPr>
            <w:tcW w:w="1120" w:type="dxa"/>
            <w:vAlign w:val="bottom"/>
            <w:tcBorders>
              <w:top w:val="single" w:sz="8" w:color="auto"/>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10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1,273</w:t>
            </w:r>
          </w:p>
        </w:tc>
      </w:tr>
      <w:tr>
        <w:trPr>
          <w:trHeight w:val="20"/>
        </w:trPr>
        <w:tc>
          <w:tcPr>
            <w:tcW w:w="78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87" w:right="35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TEJON RANCH CO.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20" w:type="dxa"/>
            <w:vAlign w:val="bottom"/>
          </w:tcPr>
          <w:p>
            <w:pPr>
              <w:spacing w:after="0"/>
              <w:rPr>
                <w:sz w:val="20"/>
                <w:szCs w:val="20"/>
                <w:color w:val="auto"/>
              </w:rPr>
            </w:pPr>
          </w:p>
        </w:tc>
        <w:tc>
          <w:tcPr>
            <w:tcW w:w="3520" w:type="dxa"/>
            <w:vAlign w:val="bottom"/>
            <w:tcBorders>
              <w:bottom w:val="single" w:sz="8" w:color="auto"/>
            </w:tcBorders>
            <w:gridSpan w:val="5"/>
          </w:tcPr>
          <w:p>
            <w:pPr>
              <w:jc w:val="right"/>
              <w:ind w:right="51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0" w:type="dxa"/>
            <w:vAlign w:val="bottom"/>
          </w:tcPr>
          <w:p>
            <w:pPr>
              <w:spacing w:after="0"/>
              <w:rPr>
                <w:sz w:val="1"/>
                <w:szCs w:val="1"/>
                <w:color w:val="auto"/>
              </w:rPr>
            </w:pPr>
          </w:p>
        </w:tc>
      </w:tr>
      <w:tr>
        <w:trPr>
          <w:trHeight w:val="223"/>
        </w:trPr>
        <w:tc>
          <w:tcPr>
            <w:tcW w:w="77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6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09"/>
        </w:trPr>
        <w:tc>
          <w:tcPr>
            <w:tcW w:w="7720" w:type="dxa"/>
            <w:vAlign w:val="bottom"/>
            <w:vMerge w:val="continue"/>
          </w:tcPr>
          <w:p>
            <w:pPr>
              <w:spacing w:after="0"/>
              <w:rPr>
                <w:sz w:val="18"/>
                <w:szCs w:val="18"/>
                <w:color w:val="auto"/>
              </w:rPr>
            </w:pPr>
          </w:p>
        </w:tc>
        <w:tc>
          <w:tcPr>
            <w:tcW w:w="1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 income</w:t>
            </w:r>
          </w:p>
        </w:tc>
        <w:tc>
          <w:tcPr>
            <w:tcW w:w="106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0" w:type="dxa"/>
            <w:vAlign w:val="bottom"/>
          </w:tcPr>
          <w:p>
            <w:pPr>
              <w:spacing w:after="0"/>
              <w:rPr>
                <w:sz w:val="1"/>
                <w:szCs w:val="1"/>
                <w:color w:val="auto"/>
              </w:rPr>
            </w:pPr>
          </w:p>
        </w:tc>
      </w:tr>
      <w:tr>
        <w:trPr>
          <w:trHeight w:val="230"/>
        </w:trPr>
        <w:tc>
          <w:tcPr>
            <w:tcW w:w="7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Adjustments to reconcile net (loss) income to net cash provided by operating activities:</w:t>
            </w:r>
          </w:p>
        </w:tc>
        <w:tc>
          <w:tcPr>
            <w:tcW w:w="10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0" w:type="dxa"/>
            <w:vAlign w:val="bottom"/>
          </w:tcPr>
          <w:p>
            <w:pPr>
              <w:spacing w:after="0"/>
              <w:rPr>
                <w:sz w:val="1"/>
                <w:szCs w:val="1"/>
                <w:color w:val="auto"/>
              </w:rPr>
            </w:pPr>
          </w:p>
        </w:tc>
      </w:tr>
      <w:tr>
        <w:trPr>
          <w:trHeight w:val="230"/>
        </w:trPr>
        <w:tc>
          <w:tcPr>
            <w:tcW w:w="77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Amortization of discount of marketable securities</w:t>
            </w: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Equity in earnings of unconsolidated joint ventures, net</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w:t>
            </w:r>
          </w:p>
        </w:tc>
        <w:tc>
          <w:tcPr>
            <w:tcW w:w="0" w:type="dxa"/>
            <w:vAlign w:val="bottom"/>
          </w:tcPr>
          <w:p>
            <w:pPr>
              <w:spacing w:after="0"/>
              <w:rPr>
                <w:sz w:val="1"/>
                <w:szCs w:val="1"/>
                <w:color w:val="auto"/>
              </w:rPr>
            </w:pPr>
          </w:p>
        </w:tc>
      </w:tr>
      <w:tr>
        <w:trPr>
          <w:trHeight w:val="229"/>
        </w:trPr>
        <w:tc>
          <w:tcPr>
            <w:tcW w:w="77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Non-cash retirement plan expense</w:t>
            </w: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680"/>
              <w:spacing w:after="0" w:line="230" w:lineRule="exact"/>
              <w:rPr>
                <w:sz w:val="20"/>
                <w:szCs w:val="20"/>
                <w:color w:val="auto"/>
              </w:rPr>
            </w:pPr>
            <w:r>
              <w:rPr>
                <w:rFonts w:ascii="Times New Roman" w:cs="Times New Roman" w:eastAsia="Times New Roman" w:hAnsi="Times New Roman"/>
                <w:sz w:val="18"/>
                <w:szCs w:val="18"/>
                <w:color w:val="auto"/>
              </w:rPr>
              <w:t>Profit from water sales</w:t>
            </w:r>
            <w:r>
              <w:rPr>
                <w:rFonts w:ascii="Times New Roman" w:cs="Times New Roman" w:eastAsia="Times New Roman" w:hAnsi="Times New Roman"/>
                <w:sz w:val="23"/>
                <w:szCs w:val="23"/>
                <w:color w:val="auto"/>
                <w:vertAlign w:val="superscript"/>
              </w:rPr>
              <w:t>1</w:t>
            </w:r>
          </w:p>
        </w:tc>
        <w:tc>
          <w:tcPr>
            <w:tcW w:w="10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0" w:type="dxa"/>
            <w:vAlign w:val="bottom"/>
          </w:tcPr>
          <w:p>
            <w:pPr>
              <w:spacing w:after="0"/>
              <w:rPr>
                <w:sz w:val="1"/>
                <w:szCs w:val="1"/>
                <w:color w:val="auto"/>
              </w:rPr>
            </w:pPr>
          </w:p>
        </w:tc>
      </w:tr>
      <w:tr>
        <w:trPr>
          <w:trHeight w:val="229"/>
        </w:trPr>
        <w:tc>
          <w:tcPr>
            <w:tcW w:w="77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(Gain) loss on sale of property plant and equipment</w:t>
            </w: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Deferred income taxes</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7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Excess tax benefit from stock-based compensation</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30"/>
        </w:trPr>
        <w:tc>
          <w:tcPr>
            <w:tcW w:w="7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Distribution of earnings from unconsolidated joint ventures</w:t>
            </w: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2,051</w:t>
            </w: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Receivables, inventories, prepaids and other assets, net</w:t>
            </w: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Current liabilities</w:t>
            </w:r>
          </w:p>
        </w:tc>
        <w:tc>
          <w:tcPr>
            <w:tcW w:w="10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0" w:type="dxa"/>
            <w:vAlign w:val="bottom"/>
          </w:tcPr>
          <w:p>
            <w:pPr>
              <w:spacing w:after="0"/>
              <w:rPr>
                <w:sz w:val="1"/>
                <w:szCs w:val="1"/>
                <w:color w:val="auto"/>
              </w:rPr>
            </w:pPr>
          </w:p>
        </w:tc>
      </w:tr>
      <w:tr>
        <w:trPr>
          <w:trHeight w:val="22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3,413</w:t>
            </w: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Maturities and sales of marketable securities</w:t>
            </w: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46,239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27,193</w:t>
            </w: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Funds invested in marketable securities</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(38,614)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(28,892)</w:t>
            </w:r>
          </w:p>
        </w:tc>
        <w:tc>
          <w:tcPr>
            <w:tcW w:w="0" w:type="dxa"/>
            <w:vAlign w:val="bottom"/>
          </w:tcPr>
          <w:p>
            <w:pPr>
              <w:spacing w:after="0"/>
              <w:rPr>
                <w:sz w:val="1"/>
                <w:szCs w:val="1"/>
                <w:color w:val="auto"/>
              </w:rPr>
            </w:pPr>
          </w:p>
        </w:tc>
      </w:tr>
      <w:tr>
        <w:trPr>
          <w:trHeight w:val="230"/>
        </w:trPr>
        <w:tc>
          <w:tcPr>
            <w:tcW w:w="7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Real estate and equipment expenditures</w:t>
            </w: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(5,037)</w:t>
            </w: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Reimbursement proceeds from Community Facilities District</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0"/>
        </w:trPr>
        <w:tc>
          <w:tcPr>
            <w:tcW w:w="7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Distribution of equity from unconsolidated joint ventures</w:t>
            </w: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10,644</w:t>
            </w: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Proceeds from water sales</w:t>
            </w:r>
            <w:r>
              <w:rPr>
                <w:rFonts w:ascii="Times New Roman" w:cs="Times New Roman" w:eastAsia="Times New Roman" w:hAnsi="Times New Roman"/>
                <w:sz w:val="23"/>
                <w:szCs w:val="23"/>
                <w:color w:val="auto"/>
                <w:vertAlign w:val="superscript"/>
              </w:rPr>
              <w:t>1</w:t>
            </w:r>
          </w:p>
        </w:tc>
        <w:tc>
          <w:tcPr>
            <w:tcW w:w="10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Investments in water assets</w:t>
            </w:r>
          </w:p>
        </w:tc>
        <w:tc>
          <w:tcPr>
            <w:tcW w:w="10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(4,355)</w:t>
            </w:r>
          </w:p>
        </w:tc>
        <w:tc>
          <w:tcPr>
            <w:tcW w:w="0" w:type="dxa"/>
            <w:vAlign w:val="bottom"/>
          </w:tcPr>
          <w:p>
            <w:pPr>
              <w:spacing w:after="0"/>
              <w:rPr>
                <w:sz w:val="1"/>
                <w:szCs w:val="1"/>
                <w:color w:val="auto"/>
              </w:rPr>
            </w:pPr>
          </w:p>
        </w:tc>
      </w:tr>
      <w:tr>
        <w:trPr>
          <w:trHeight w:val="223"/>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0" w:type="dxa"/>
            <w:vAlign w:val="bottom"/>
          </w:tcPr>
          <w:p>
            <w:pPr>
              <w:spacing w:after="0"/>
              <w:rPr>
                <w:sz w:val="1"/>
                <w:szCs w:val="1"/>
                <w:color w:val="auto"/>
              </w:rPr>
            </w:pPr>
          </w:p>
        </w:tc>
      </w:tr>
      <w:tr>
        <w:trPr>
          <w:trHeight w:val="23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0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Repayments of long-term debt</w:t>
            </w:r>
          </w:p>
        </w:tc>
        <w:tc>
          <w:tcPr>
            <w:tcW w:w="10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Taxes on vested stock grants</w:t>
            </w:r>
          </w:p>
        </w:tc>
        <w:tc>
          <w:tcPr>
            <w:tcW w:w="10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(2,594)</w:t>
            </w:r>
          </w:p>
        </w:tc>
        <w:tc>
          <w:tcPr>
            <w:tcW w:w="0" w:type="dxa"/>
            <w:vAlign w:val="bottom"/>
          </w:tcPr>
          <w:p>
            <w:pPr>
              <w:spacing w:after="0"/>
              <w:rPr>
                <w:sz w:val="1"/>
                <w:szCs w:val="1"/>
                <w:color w:val="auto"/>
              </w:rPr>
            </w:pPr>
          </w:p>
        </w:tc>
      </w:tr>
      <w:tr>
        <w:trPr>
          <w:trHeight w:val="223"/>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(3,030)</w:t>
            </w:r>
          </w:p>
        </w:tc>
        <w:tc>
          <w:tcPr>
            <w:tcW w:w="0" w:type="dxa"/>
            <w:vAlign w:val="bottom"/>
          </w:tcPr>
          <w:p>
            <w:pPr>
              <w:spacing w:after="0"/>
              <w:rPr>
                <w:sz w:val="1"/>
                <w:szCs w:val="1"/>
                <w:color w:val="auto"/>
              </w:rPr>
            </w:pPr>
          </w:p>
        </w:tc>
      </w:tr>
      <w:tr>
        <w:trPr>
          <w:trHeight w:val="23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in cash and cash equivalents</w:t>
            </w: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10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32,407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39,619</w:t>
            </w:r>
          </w:p>
        </w:tc>
        <w:tc>
          <w:tcPr>
            <w:tcW w:w="0" w:type="dxa"/>
            <w:vAlign w:val="bottom"/>
          </w:tcPr>
          <w:p>
            <w:pPr>
              <w:spacing w:after="0"/>
              <w:rPr>
                <w:sz w:val="1"/>
                <w:szCs w:val="1"/>
                <w:color w:val="auto"/>
              </w:rPr>
            </w:pPr>
          </w:p>
        </w:tc>
      </w:tr>
      <w:tr>
        <w:trPr>
          <w:trHeight w:val="22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end of period</w:t>
            </w:r>
          </w:p>
        </w:tc>
        <w:tc>
          <w:tcPr>
            <w:tcW w:w="106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36,052</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40,879</w:t>
            </w:r>
          </w:p>
        </w:tc>
        <w:tc>
          <w:tcPr>
            <w:tcW w:w="0" w:type="dxa"/>
            <w:vAlign w:val="bottom"/>
          </w:tcPr>
          <w:p>
            <w:pPr>
              <w:spacing w:after="0"/>
              <w:rPr>
                <w:sz w:val="1"/>
                <w:szCs w:val="1"/>
                <w:color w:val="auto"/>
              </w:rPr>
            </w:pPr>
          </w:p>
        </w:tc>
      </w:tr>
      <w:tr>
        <w:trPr>
          <w:trHeight w:val="20"/>
        </w:trPr>
        <w:tc>
          <w:tcPr>
            <w:tcW w:w="7720" w:type="dxa"/>
            <w:vAlign w:val="bottom"/>
            <w:vMerge w:val="restart"/>
          </w:tcPr>
          <w:p>
            <w:pPr>
              <w:ind w:left="5580"/>
              <w:spacing w:after="0"/>
              <w:rPr>
                <w:sz w:val="20"/>
                <w:szCs w:val="20"/>
                <w:color w:val="auto"/>
              </w:rPr>
            </w:pPr>
            <w:r>
              <w:rPr>
                <w:rFonts w:ascii="Times New Roman" w:cs="Times New Roman" w:eastAsia="Times New Roman" w:hAnsi="Times New Roman"/>
                <w:sz w:val="18"/>
                <w:szCs w:val="18"/>
                <w:color w:val="auto"/>
              </w:rPr>
              <w:t>7</w:t>
            </w: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31"/>
        </w:trPr>
        <w:tc>
          <w:tcPr>
            <w:tcW w:w="772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7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29"/>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to amounts on consolidated balance sheets:</w:t>
            </w: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35,552</w:t>
            </w:r>
          </w:p>
        </w:tc>
        <w:tc>
          <w:tcPr>
            <w:tcW w:w="100" w:type="dxa"/>
            <w:vAlign w:val="bottom"/>
          </w:tcPr>
          <w:p>
            <w:pPr>
              <w:spacing w:after="0"/>
              <w:rPr>
                <w:sz w:val="19"/>
                <w:szCs w:val="19"/>
                <w:color w:val="auto"/>
              </w:rPr>
            </w:pP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40,379</w:t>
            </w:r>
          </w:p>
        </w:tc>
      </w:tr>
      <w:tr>
        <w:trPr>
          <w:trHeight w:val="229"/>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 (Shown in prepaid expenses and other current assets)</w:t>
            </w:r>
          </w:p>
        </w:tc>
        <w:tc>
          <w:tcPr>
            <w:tcW w:w="6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2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cash, cash equivalents, and restricted cash</w:t>
            </w:r>
          </w:p>
        </w:tc>
        <w:tc>
          <w:tcPr>
            <w:tcW w:w="6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36,052</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40,879</w:t>
            </w:r>
          </w:p>
        </w:tc>
      </w:tr>
      <w:tr>
        <w:trPr>
          <w:trHeight w:val="20"/>
        </w:trPr>
        <w:tc>
          <w:tcPr>
            <w:tcW w:w="77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3"/>
        </w:trPr>
        <w:tc>
          <w:tcPr>
            <w:tcW w:w="77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6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Non-cash investing activities</w:t>
            </w: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7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capital expenditures included in current liabilities</w:t>
            </w:r>
          </w:p>
        </w:tc>
        <w:tc>
          <w:tcPr>
            <w:tcW w:w="6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2,299</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w:t>
            </w:r>
          </w:p>
        </w:tc>
      </w:tr>
      <w:tr>
        <w:trPr>
          <w:trHeight w:val="20"/>
        </w:trPr>
        <w:tc>
          <w:tcPr>
            <w:tcW w:w="77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2"/>
        </w:trPr>
        <w:tc>
          <w:tcPr>
            <w:tcW w:w="7720" w:type="dxa"/>
            <w:vAlign w:val="bottom"/>
            <w:tcBorders>
              <w:bottom w:val="single" w:sz="8" w:color="CCEEFF"/>
            </w:tcBorders>
            <w:shd w:val="clear" w:color="auto" w:fill="CCEEFF"/>
          </w:tcPr>
          <w:p>
            <w:pPr>
              <w:ind w:left="360"/>
              <w:spacing w:after="0" w:line="196" w:lineRule="exact"/>
              <w:rPr>
                <w:sz w:val="20"/>
                <w:szCs w:val="20"/>
                <w:color w:val="auto"/>
              </w:rPr>
            </w:pPr>
            <w:r>
              <w:rPr>
                <w:rFonts w:ascii="Times New Roman" w:cs="Times New Roman" w:eastAsia="Times New Roman" w:hAnsi="Times New Roman"/>
                <w:sz w:val="18"/>
                <w:szCs w:val="18"/>
                <w:color w:val="auto"/>
              </w:rPr>
              <w:t>Accrued long-term water assets included in current liabilities</w:t>
            </w:r>
          </w:p>
        </w:tc>
        <w:tc>
          <w:tcPr>
            <w:tcW w:w="620" w:type="dxa"/>
            <w:vAlign w:val="bottom"/>
            <w:tcBorders>
              <w:bottom w:val="single" w:sz="8" w:color="auto"/>
            </w:tcBorders>
            <w:shd w:val="clear" w:color="auto" w:fill="CCEEFF"/>
          </w:tcPr>
          <w:p>
            <w:pPr>
              <w:jc w:val="right"/>
              <w:ind w:right="4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986</w:t>
            </w:r>
          </w:p>
        </w:tc>
        <w:tc>
          <w:tcPr>
            <w:tcW w:w="1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4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962</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ind w:left="20" w:right="120"/>
        <w:spacing w:after="0" w:line="215" w:lineRule="auto"/>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In determining the classification of cash inflows and outflows related to water asset activity, the Company’s practices are supported by ASC Topic 230-10-45-22, which provides that “Certain cash receipts and payments have aspects of more than one class of cash flows…. If so, the appropriate classification shall depend on the activity that</w:t>
      </w:r>
    </w:p>
    <w:p>
      <w:pPr>
        <w:spacing w:after="0" w:line="1" w:lineRule="exact"/>
        <w:rPr>
          <w:sz w:val="20"/>
          <w:szCs w:val="20"/>
          <w:color w:val="auto"/>
        </w:rPr>
      </w:pPr>
    </w:p>
    <w:p>
      <w:pPr>
        <w:ind w:left="20" w:right="100"/>
        <w:spacing w:after="0" w:line="238" w:lineRule="auto"/>
        <w:rPr>
          <w:sz w:val="20"/>
          <w:szCs w:val="20"/>
          <w:color w:val="auto"/>
        </w:rPr>
      </w:pPr>
      <w:r>
        <w:rPr>
          <w:rFonts w:ascii="Times New Roman" w:cs="Times New Roman" w:eastAsia="Times New Roman" w:hAnsi="Times New Roman"/>
          <w:sz w:val="16"/>
          <w:szCs w:val="16"/>
          <w:color w:val="auto"/>
        </w:rPr>
        <w:t>is likely to be the predominant source of cash flows for the item.” Also, at the 2006 American Institute of Certified Public Accountants Conference on Current SEC and PCAOB Developments, the SEC staff discussed that an entity should be consistent in how it classifies cash outflows and inflows related to an asset’s purchase and sale and noted that when cash flow classification is unclear, registrants must use judgment and analysis that considers the nature of the activity and the predominant source of cash flow for these items.</w:t>
      </w:r>
    </w:p>
    <w:p>
      <w:pPr>
        <w:spacing w:after="0" w:line="224" w:lineRule="exact"/>
        <w:rPr>
          <w:sz w:val="20"/>
          <w:szCs w:val="20"/>
          <w:color w:val="auto"/>
        </w:rPr>
      </w:pPr>
    </w:p>
    <w:p>
      <w:pPr>
        <w:ind w:left="20" w:right="20"/>
        <w:spacing w:after="0" w:line="252" w:lineRule="auto"/>
        <w:rPr>
          <w:sz w:val="20"/>
          <w:szCs w:val="20"/>
          <w:color w:val="auto"/>
        </w:rPr>
      </w:pPr>
      <w:r>
        <w:rPr>
          <w:rFonts w:ascii="Times New Roman" w:cs="Times New Roman" w:eastAsia="Times New Roman" w:hAnsi="Times New Roman"/>
          <w:sz w:val="16"/>
          <w:szCs w:val="16"/>
          <w:color w:val="auto"/>
        </w:rPr>
        <w:t>Given the nature of our water assets and the aforementioned authoritative guidance, the Company estimates the appropriate classification of water assets purchased based on the timing of the sale of the water. Water purchased in prior periods that was classified as investing was sold for $1.3 million in 2023, this cash inflow is appropriately classified in the Company’s investing activities. The profit of $0.5 million related to the water purchased in prior periods is appropriately being deducted from operating activities for the current period. The Company has and will continue to apply this methodology to water asset transactions that meet this fact pattern.</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4" w:right="339" w:bottom="1440" w:gutter="0" w:footer="0" w:header="0"/>
        </w:sectPr>
      </w:pPr>
    </w:p>
    <w:bookmarkStart w:id="8" w:name="page9"/>
    <w:bookmarkEnd w:id="8"/>
    <w:p>
      <w:pPr>
        <w:jc w:val="cente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TEJON RANCH CO. AND SUBSIDIARIES UNAUDITED CONSOLIDATED STATEMENT OF CHANGES IN EQUITY </w:t>
      </w:r>
      <w:r>
        <w:rPr>
          <w:rFonts w:ascii="Times New Roman" w:cs="Times New Roman" w:eastAsia="Times New Roman" w:hAnsi="Times New Roman"/>
          <w:sz w:val="18"/>
          <w:szCs w:val="18"/>
          <w:color w:val="auto"/>
        </w:rPr>
        <w:t>(In thousands, except shares outstanding)</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60" w:type="dxa"/>
            <w:vAlign w:val="bottom"/>
          </w:tcPr>
          <w:p>
            <w:pPr>
              <w:spacing w:after="0"/>
              <w:rPr>
                <w:sz w:val="17"/>
                <w:szCs w:val="17"/>
                <w:color w:val="auto"/>
              </w:rPr>
            </w:pPr>
          </w:p>
        </w:tc>
        <w:tc>
          <w:tcPr>
            <w:tcW w:w="11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8"/>
              </w:rPr>
              <w:t>Common</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w w:val="98"/>
              </w:rPr>
              <w:t>Additional</w:t>
            </w:r>
          </w:p>
        </w:tc>
        <w:tc>
          <w:tcPr>
            <w:tcW w:w="120" w:type="dxa"/>
            <w:vAlign w:val="bottom"/>
          </w:tcPr>
          <w:p>
            <w:pPr>
              <w:spacing w:after="0"/>
              <w:rPr>
                <w:sz w:val="17"/>
                <w:szCs w:val="17"/>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Accumulated</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color w:val="auto"/>
                <w:w w:val="99"/>
              </w:rPr>
              <w:t>Total</w:t>
            </w:r>
          </w:p>
        </w:tc>
        <w:tc>
          <w:tcPr>
            <w:tcW w:w="140" w:type="dxa"/>
            <w:vAlign w:val="bottom"/>
          </w:tcPr>
          <w:p>
            <w:pPr>
              <w:spacing w:after="0"/>
              <w:rPr>
                <w:sz w:val="17"/>
                <w:szCs w:val="17"/>
                <w:color w:val="auto"/>
              </w:rPr>
            </w:pPr>
          </w:p>
        </w:tc>
        <w:tc>
          <w:tcPr>
            <w:tcW w:w="11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color w:val="auto"/>
              </w:rPr>
              <w:t>Non-</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66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8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8"/>
              </w:rPr>
              <w:t>Common</w:t>
            </w:r>
          </w:p>
        </w:tc>
        <w:tc>
          <w:tcPr>
            <w:tcW w:w="96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center"/>
              <w:ind w:right="200"/>
              <w:spacing w:after="0" w:line="176" w:lineRule="exact"/>
              <w:rPr>
                <w:sz w:val="20"/>
                <w:szCs w:val="20"/>
                <w:color w:val="auto"/>
              </w:rPr>
            </w:pPr>
            <w:r>
              <w:rPr>
                <w:rFonts w:ascii="Times New Roman" w:cs="Times New Roman" w:eastAsia="Times New Roman" w:hAnsi="Times New Roman"/>
                <w:sz w:val="18"/>
                <w:szCs w:val="18"/>
                <w:color w:val="auto"/>
              </w:rPr>
              <w:t>Other</w:t>
            </w:r>
          </w:p>
        </w:tc>
        <w:tc>
          <w:tcPr>
            <w:tcW w:w="90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Retained</w:t>
            </w:r>
          </w:p>
        </w:tc>
        <w:tc>
          <w:tcPr>
            <w:tcW w:w="18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60" w:type="dxa"/>
            <w:vAlign w:val="bottom"/>
          </w:tcPr>
          <w:p>
            <w:pPr>
              <w:spacing w:after="0"/>
              <w:rPr>
                <w:sz w:val="15"/>
                <w:szCs w:val="15"/>
                <w:color w:val="auto"/>
              </w:rPr>
            </w:pPr>
          </w:p>
        </w:tc>
        <w:tc>
          <w:tcPr>
            <w:tcW w:w="116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rPr>
              <w:t>Stock Shares</w:t>
            </w:r>
          </w:p>
        </w:tc>
        <w:tc>
          <w:tcPr>
            <w:tcW w:w="88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color w:val="auto"/>
                <w:w w:val="98"/>
              </w:rPr>
              <w:t>Paid-In</w:t>
            </w:r>
          </w:p>
        </w:tc>
        <w:tc>
          <w:tcPr>
            <w:tcW w:w="1300" w:type="dxa"/>
            <w:vAlign w:val="bottom"/>
            <w:gridSpan w:val="3"/>
          </w:tcPr>
          <w:p>
            <w:pPr>
              <w:jc w:val="center"/>
              <w:ind w:right="80"/>
              <w:spacing w:after="0" w:line="176" w:lineRule="exact"/>
              <w:rPr>
                <w:sz w:val="20"/>
                <w:szCs w:val="20"/>
                <w:color w:val="auto"/>
              </w:rPr>
            </w:pPr>
            <w:r>
              <w:rPr>
                <w:rFonts w:ascii="Times New Roman" w:cs="Times New Roman" w:eastAsia="Times New Roman" w:hAnsi="Times New Roman"/>
                <w:sz w:val="18"/>
                <w:szCs w:val="18"/>
                <w:color w:val="auto"/>
              </w:rPr>
              <w:t>Comprehensive</w:t>
            </w:r>
          </w:p>
        </w:tc>
        <w:tc>
          <w:tcPr>
            <w:tcW w:w="900" w:type="dxa"/>
            <w:vAlign w:val="bottom"/>
            <w:gridSpan w:val="2"/>
            <w:vMerge w:val="continue"/>
          </w:tcPr>
          <w:p>
            <w:pPr>
              <w:spacing w:after="0"/>
              <w:rPr>
                <w:sz w:val="15"/>
                <w:szCs w:val="15"/>
                <w:color w:val="auto"/>
              </w:rPr>
            </w:pPr>
          </w:p>
        </w:tc>
        <w:tc>
          <w:tcPr>
            <w:tcW w:w="1120" w:type="dxa"/>
            <w:vAlign w:val="bottom"/>
            <w:gridSpan w:val="3"/>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rPr>
              <w:t>Stockholders'</w:t>
            </w:r>
          </w:p>
        </w:tc>
        <w:tc>
          <w:tcPr>
            <w:tcW w:w="140" w:type="dxa"/>
            <w:vAlign w:val="bottom"/>
          </w:tcPr>
          <w:p>
            <w:pPr>
              <w:spacing w:after="0"/>
              <w:rPr>
                <w:sz w:val="15"/>
                <w:szCs w:val="15"/>
                <w:color w:val="auto"/>
              </w:rPr>
            </w:pPr>
          </w:p>
        </w:tc>
        <w:tc>
          <w:tcPr>
            <w:tcW w:w="112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color w:val="auto"/>
                <w:w w:val="98"/>
              </w:rPr>
              <w:t>controlling</w:t>
            </w: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660" w:type="dxa"/>
            <w:vAlign w:val="bottom"/>
          </w:tcPr>
          <w:p>
            <w:pPr>
              <w:spacing w:after="0"/>
              <w:rPr>
                <w:sz w:val="21"/>
                <w:szCs w:val="21"/>
                <w:color w:val="auto"/>
              </w:rPr>
            </w:pP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Outstanding</w:t>
            </w:r>
          </w:p>
        </w:tc>
        <w:tc>
          <w:tcPr>
            <w:tcW w:w="140" w:type="dxa"/>
            <w:vAlign w:val="bottom"/>
          </w:tcPr>
          <w:p>
            <w:pPr>
              <w:spacing w:after="0"/>
              <w:rPr>
                <w:sz w:val="21"/>
                <w:szCs w:val="21"/>
                <w:color w:val="auto"/>
              </w:rPr>
            </w:pPr>
          </w:p>
        </w:tc>
        <w:tc>
          <w:tcPr>
            <w:tcW w:w="7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Stock</w:t>
            </w:r>
          </w:p>
        </w:tc>
        <w:tc>
          <w:tcPr>
            <w:tcW w:w="140" w:type="dxa"/>
            <w:vAlign w:val="bottom"/>
          </w:tcPr>
          <w:p>
            <w:pPr>
              <w:spacing w:after="0"/>
              <w:rPr>
                <w:sz w:val="21"/>
                <w:szCs w:val="21"/>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Capital</w:t>
            </w:r>
          </w:p>
        </w:tc>
        <w:tc>
          <w:tcPr>
            <w:tcW w:w="120" w:type="dxa"/>
            <w:vAlign w:val="bottom"/>
          </w:tcPr>
          <w:p>
            <w:pPr>
              <w:spacing w:after="0"/>
              <w:rPr>
                <w:sz w:val="21"/>
                <w:szCs w:val="21"/>
                <w:color w:val="auto"/>
              </w:rPr>
            </w:pP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Loss</w:t>
            </w: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Earnings</w:t>
            </w:r>
          </w:p>
        </w:tc>
        <w:tc>
          <w:tcPr>
            <w:tcW w:w="180" w:type="dxa"/>
            <w:vAlign w:val="bottom"/>
          </w:tcPr>
          <w:p>
            <w:pPr>
              <w:spacing w:after="0"/>
              <w:rPr>
                <w:sz w:val="21"/>
                <w:szCs w:val="21"/>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Equity</w:t>
            </w:r>
          </w:p>
        </w:tc>
        <w:tc>
          <w:tcPr>
            <w:tcW w:w="140" w:type="dxa"/>
            <w:vAlign w:val="bottom"/>
          </w:tcPr>
          <w:p>
            <w:pPr>
              <w:spacing w:after="0"/>
              <w:rPr>
                <w:sz w:val="21"/>
                <w:szCs w:val="21"/>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Interest</w:t>
            </w: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9"/>
              </w:rPr>
              <w:t>Total Equity</w:t>
            </w:r>
          </w:p>
        </w:tc>
        <w:tc>
          <w:tcPr>
            <w:tcW w:w="0" w:type="dxa"/>
            <w:vAlign w:val="bottom"/>
          </w:tcPr>
          <w:p>
            <w:pPr>
              <w:spacing w:after="0"/>
              <w:rPr>
                <w:sz w:val="1"/>
                <w:szCs w:val="1"/>
                <w:color w:val="auto"/>
              </w:rPr>
            </w:pPr>
          </w:p>
        </w:tc>
      </w:tr>
      <w:tr>
        <w:trPr>
          <w:trHeight w:val="223"/>
        </w:trPr>
        <w:tc>
          <w:tcPr>
            <w:tcW w:w="2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2023</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26,770,545</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13,386</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345,609</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8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$ 108,908</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467,732</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15,364</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483,096</w:t>
            </w:r>
          </w:p>
        </w:tc>
        <w:tc>
          <w:tcPr>
            <w:tcW w:w="0" w:type="dxa"/>
            <w:vAlign w:val="bottom"/>
          </w:tcPr>
          <w:p>
            <w:pPr>
              <w:spacing w:after="0"/>
              <w:rPr>
                <w:sz w:val="1"/>
                <w:szCs w:val="1"/>
                <w:color w:val="auto"/>
              </w:rPr>
            </w:pPr>
          </w:p>
        </w:tc>
      </w:tr>
      <w:tr>
        <w:trPr>
          <w:trHeight w:val="230"/>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0" w:type="dxa"/>
            <w:vAlign w:val="bottom"/>
          </w:tcPr>
          <w:p>
            <w:pPr>
              <w:spacing w:after="0"/>
              <w:rPr>
                <w:sz w:val="1"/>
                <w:szCs w:val="1"/>
                <w:color w:val="auto"/>
              </w:rPr>
            </w:pPr>
          </w:p>
        </w:tc>
      </w:tr>
      <w:tr>
        <w:trPr>
          <w:trHeight w:val="229"/>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issuance</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45,350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compensation</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0" w:type="dxa"/>
            <w:vAlign w:val="bottom"/>
          </w:tcPr>
          <w:p>
            <w:pPr>
              <w:spacing w:after="0"/>
              <w:rPr>
                <w:sz w:val="1"/>
                <w:szCs w:val="1"/>
                <w:color w:val="auto"/>
              </w:rPr>
            </w:pPr>
          </w:p>
        </w:tc>
      </w:tr>
      <w:tr>
        <w:trPr>
          <w:trHeight w:val="175"/>
        </w:trPr>
        <w:tc>
          <w:tcPr>
            <w:tcW w:w="26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Shares withheld for taxes and tax</w:t>
            </w: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benefit of vested shares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48"/>
        </w:trPr>
        <w:tc>
          <w:tcPr>
            <w:tcW w:w="26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March 31, 2024</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26,797,440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346,141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$ 107,994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467,358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482,722</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26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2022</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26,541,553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345,344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$ 105,643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462,230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477,594</w:t>
            </w:r>
          </w:p>
        </w:tc>
        <w:tc>
          <w:tcPr>
            <w:tcW w:w="0" w:type="dxa"/>
            <w:vAlign w:val="bottom"/>
          </w:tcPr>
          <w:p>
            <w:pPr>
              <w:spacing w:after="0"/>
              <w:rPr>
                <w:sz w:val="1"/>
                <w:szCs w:val="1"/>
                <w:color w:val="auto"/>
              </w:rPr>
            </w:pPr>
          </w:p>
        </w:tc>
      </w:tr>
      <w:tr>
        <w:trPr>
          <w:trHeight w:val="229"/>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0" w:type="dxa"/>
            <w:vAlign w:val="bottom"/>
          </w:tcPr>
          <w:p>
            <w:pPr>
              <w:spacing w:after="0"/>
              <w:rPr>
                <w:sz w:val="1"/>
                <w:szCs w:val="1"/>
                <w:color w:val="auto"/>
              </w:rPr>
            </w:pPr>
          </w:p>
        </w:tc>
      </w:tr>
      <w:tr>
        <w:trPr>
          <w:trHeight w:val="230"/>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0" w:type="dxa"/>
            <w:vAlign w:val="bottom"/>
          </w:tcPr>
          <w:p>
            <w:pPr>
              <w:spacing w:after="0"/>
              <w:rPr>
                <w:sz w:val="1"/>
                <w:szCs w:val="1"/>
                <w:color w:val="auto"/>
              </w:rPr>
            </w:pPr>
          </w:p>
        </w:tc>
      </w:tr>
      <w:tr>
        <w:trPr>
          <w:trHeight w:val="229"/>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issuance</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347,724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compensation</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0" w:type="dxa"/>
            <w:vAlign w:val="bottom"/>
          </w:tcPr>
          <w:p>
            <w:pPr>
              <w:spacing w:after="0"/>
              <w:rPr>
                <w:sz w:val="1"/>
                <w:szCs w:val="1"/>
                <w:color w:val="auto"/>
              </w:rPr>
            </w:pPr>
          </w:p>
        </w:tc>
      </w:tr>
      <w:tr>
        <w:trPr>
          <w:trHeight w:val="176"/>
        </w:trPr>
        <w:tc>
          <w:tcPr>
            <w:tcW w:w="26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Shares withheld for taxes and tax</w:t>
            </w: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benefit of vested shares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(178,845)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(2,505)</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(2,594)</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(2,594)</w:t>
            </w:r>
          </w:p>
        </w:tc>
        <w:tc>
          <w:tcPr>
            <w:tcW w:w="0" w:type="dxa"/>
            <w:vAlign w:val="bottom"/>
          </w:tcPr>
          <w:p>
            <w:pPr>
              <w:spacing w:after="0"/>
              <w:rPr>
                <w:sz w:val="1"/>
                <w:szCs w:val="1"/>
                <w:color w:val="auto"/>
              </w:rPr>
            </w:pPr>
          </w:p>
        </w:tc>
      </w:tr>
      <w:tr>
        <w:trPr>
          <w:trHeight w:val="248"/>
        </w:trPr>
        <w:tc>
          <w:tcPr>
            <w:tcW w:w="26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March 31, 2023</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26,710,432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343,438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$ 107,417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461,682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477,052</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See accompanying notes.</w:t>
      </w: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927" w:right="359" w:bottom="1440" w:gutter="0" w:footer="0" w:header="0"/>
        </w:sectPr>
      </w:pPr>
    </w:p>
    <w:bookmarkStart w:id="9" w:name="page10"/>
    <w:bookmarkEnd w:id="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TEJON RANCH CO.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200" w:lineRule="exact"/>
        <w:rPr>
          <w:sz w:val="20"/>
          <w:szCs w:val="20"/>
          <w:color w:val="auto"/>
        </w:rPr>
      </w:pPr>
    </w:p>
    <w:p>
      <w:pPr>
        <w:spacing w:after="0" w:line="24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BASIS OF PRESENTATION</w:t>
      </w:r>
    </w:p>
    <w:p>
      <w:pPr>
        <w:spacing w:after="0" w:line="10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summarized information of Tejon Ranch Co. and its subsidiaries (the Company or Tejon), provided pursuant to Part I, Item 1 of Form 10-Q, is unaudited and reflects all adjustments which are, in the opinion of the Company’s management, necessary for a fair statement of the results for the interim period. All such adjustments are of a normal, recurring nature. The Company has evaluated subsequent events through the date of issuance of its consolidated financial statements.</w:t>
      </w:r>
    </w:p>
    <w:p>
      <w:pPr>
        <w:spacing w:after="0" w:line="45"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The periods ended March 31, 2024 and 2023 include the consolidation of CFL’s statements of operations within the resort/residential real estate development segment, statements of changes in equity, and statements of cash flows. The Company’s March 31, 2024 and December 31, 2023 balance sheets are presented on a consolidated basis, including the consolidation of CFL.</w:t>
      </w:r>
    </w:p>
    <w:p>
      <w:pPr>
        <w:spacing w:after="0" w:line="54" w:lineRule="exact"/>
        <w:rPr>
          <w:sz w:val="20"/>
          <w:szCs w:val="20"/>
          <w:color w:val="auto"/>
        </w:rPr>
      </w:pPr>
    </w:p>
    <w:p>
      <w:pPr>
        <w:jc w:val="both"/>
        <w:ind w:right="240"/>
        <w:spacing w:after="0" w:line="258" w:lineRule="auto"/>
        <w:rPr>
          <w:sz w:val="20"/>
          <w:szCs w:val="20"/>
          <w:color w:val="auto"/>
        </w:rPr>
      </w:pPr>
      <w:r>
        <w:rPr>
          <w:rFonts w:ascii="Times New Roman" w:cs="Times New Roman" w:eastAsia="Times New Roman" w:hAnsi="Times New Roman"/>
          <w:sz w:val="18"/>
          <w:szCs w:val="18"/>
          <w:color w:val="auto"/>
        </w:rPr>
        <w:t>The Company has identified five reportable segments: commercial/industrial real estate development, resort/residential real estate development, mineral resources, farming, and ranch operations. Information for the Company’s reportable segments is presented in its Consolidated Statements of Operations. The Company’s reportable segments follow the same accounting policies used for the Company’s consolidated financial statements. The Company uses segment profit or loss and equity in earnings of unconsolidated joint ventures as the primary measures of profitability to evaluate operating performance and to allocate capital resources.</w:t>
      </w:r>
    </w:p>
    <w:p>
      <w:pPr>
        <w:spacing w:after="0" w:line="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results of the period reported herein are not indicative of the results to be expected for the full year due to the seasonal nature of the Company’s agricultural activities, water activities, timing of real estate sales and leasing activities. Historically, the Company’s largest percentages of farming revenues are recognized during the third and fourth quarters of the fiscal year.</w:t>
      </w:r>
    </w:p>
    <w:p>
      <w:pPr>
        <w:spacing w:after="0" w:line="4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For further information and a summary of significant accounting policies, refer to the Consolidated Financial Statements and notes thereto included in the Company’s Annual Report on Form 10-K for the year ended December 31, 2023.</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Instruments</w:t>
      </w:r>
    </w:p>
    <w:p>
      <w:pPr>
        <w:spacing w:after="0" w:line="10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Certain financial instruments are carried on the consolidated balance sheet at cost or amortized cost basis, which approximates fair value due to their short-term and highly liquid nature. These instruments include cash and cash equivalents, restricted cash, time deposits, accounts receivable, security deposits held for customers, accounts payable, and other accrued liabilities. The fair value of the revolving line of credit also approximates its carrying value, as the interest rate is variable and approximates prevailing market interest rates for similar debt arrangements.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Cash</w:t>
      </w:r>
    </w:p>
    <w:p>
      <w:pPr>
        <w:spacing w:after="0" w:line="106"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Restricted cash is included in Prepaid expenses and other current assets within the Consolidated Balance Sheets and primarily relates to funds held in escrow. The Company had $500,000 of restricted cash as of March 31, 2024.</w:t>
      </w:r>
    </w:p>
    <w:p>
      <w:pPr>
        <w:spacing w:after="0" w:line="104" w:lineRule="exact"/>
        <w:rPr>
          <w:sz w:val="20"/>
          <w:szCs w:val="20"/>
          <w:color w:val="auto"/>
        </w:rPr>
      </w:pPr>
    </w:p>
    <w:p>
      <w:pPr>
        <w:ind w:right="2980"/>
        <w:spacing w:after="0" w:line="354" w:lineRule="auto"/>
        <w:rPr>
          <w:sz w:val="20"/>
          <w:szCs w:val="20"/>
          <w:color w:val="auto"/>
        </w:rPr>
      </w:pPr>
      <w:r>
        <w:rPr>
          <w:rFonts w:ascii="Times New Roman" w:cs="Times New Roman" w:eastAsia="Times New Roman" w:hAnsi="Times New Roman"/>
          <w:sz w:val="18"/>
          <w:szCs w:val="18"/>
          <w:b w:val="1"/>
          <w:bCs w:val="1"/>
          <w:color w:val="auto"/>
        </w:rPr>
        <w:t xml:space="preserve">New Accounting Pronouncements and Climate Change Related Update by SEC Effective in Future Periods </w:t>
      </w:r>
      <w:r>
        <w:rPr>
          <w:rFonts w:ascii="Times New Roman" w:cs="Times New Roman" w:eastAsia="Times New Roman" w:hAnsi="Times New Roman"/>
          <w:sz w:val="18"/>
          <w:szCs w:val="18"/>
          <w:i w:val="1"/>
          <w:iCs w:val="1"/>
          <w:color w:val="auto"/>
        </w:rPr>
        <w:t>Business Combinations - Joint Venture Formations</w:t>
      </w:r>
    </w:p>
    <w:p>
      <w:pPr>
        <w:spacing w:after="0" w:line="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August 2023, the Financial Accounting Standards Board, or FASB, issued Accounting Standards Update, or ASU, No. 2023-05, "Business Combinations - Joint Venture Formations." This ASU addresses the accounting for contributions made to a joint venture, upon formation, in a joint venture's separate financial statements. The pronouncement requires a joint venture to initially measure contributions at fair value upon formation, which is more relevant than the carrying amounts of the contributed net assets and would reduce equity method basis differences. The ASU is effective prospectively for all joint venture formations with a formation date on or after January 1, 2025. This pronouncement is not expected to have a material effect on our consolidated financial statements.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Reporting</w:t>
      </w:r>
    </w:p>
    <w:p>
      <w:pPr>
        <w:spacing w:after="0" w:line="10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November 2023, the FASB issued ASU No. 2023-07, "Segment Reporting - Improvements to Reportable Segment Disclosures". This ASU requires quarterly disclosure of segment expenses if they are (i) significant to the segment, (ii) regularly provided to the chief operating decision maker (“CODM”), and (iii) included in each reported measure of a segment’s profit or loss. In addition, this ASU requires an annual disclosure of the CODM’s title and a description of how the CODM uses the segment’s profit/loss measure to assess segment performance and to allocate resources. This ASU will be effective for the Company's annual report on Form 10-K beginning with the year ending December 31, 2024, and for subsequent quarterly and annual reports. The Company is currently in the process of evaluating the impact of this ASU on Company's consolidated financial statements and footnote disclosures.</w:t>
      </w: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30" w:right="3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9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(Topic740) - Improvements to Income Tax Disclosures". This ASU requires public business entities to disclose a tabular rate reconciliation of both percentages and reporting currency amounts on an annual basis. The ASU also requires disclosure of information on amount of income taxes paid disaggregated by federal, state and foreign taxes. This ASU is effective for annual periods beginning after December 15, 2024. The pronouncement is not expected to have a material effect on our consolidated financial statements.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Adoption of rules to enhance and standardize climate-related disclosures for Investors</w:t>
      </w:r>
    </w:p>
    <w:p>
      <w:pPr>
        <w:spacing w:after="0" w:line="10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On March 6, 2024, the SEC adopted final rules to require registrants to disclose certain climate-related information in registration statements and annual reports.</w:t>
      </w:r>
    </w:p>
    <w:p>
      <w:pPr>
        <w:spacing w:after="0" w:line="41" w:lineRule="exact"/>
        <w:rPr>
          <w:sz w:val="20"/>
          <w:szCs w:val="20"/>
          <w:color w:val="auto"/>
        </w:rPr>
      </w:pPr>
    </w:p>
    <w:p>
      <w:pPr>
        <w:ind w:right="220"/>
        <w:spacing w:after="0" w:line="250" w:lineRule="auto"/>
        <w:rPr>
          <w:sz w:val="20"/>
          <w:szCs w:val="20"/>
          <w:color w:val="auto"/>
        </w:rPr>
      </w:pPr>
      <w:r>
        <w:rPr>
          <w:rFonts w:ascii="Times New Roman" w:cs="Times New Roman" w:eastAsia="Times New Roman" w:hAnsi="Times New Roman"/>
          <w:sz w:val="18"/>
          <w:szCs w:val="18"/>
          <w:color w:val="auto"/>
        </w:rPr>
        <w:t>On April 4, 2024, the SEC issued an order staying the final rules pending completion of judicial review of the petitions challenging the final rules. The order does not amend the compliance dates contemplated by the final rules, which are applicable to the Company for fiscal years beginning with the Company’s annual report on Form 10-K for the fiscal year ended December 31, 2027. We are currently evaluating the impact of our pending adoption of these requirements on our financial statement disclosures.</w:t>
      </w:r>
    </w:p>
    <w:p>
      <w:pPr>
        <w:spacing w:after="0" w:line="11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tab/>
        <w:t>EQUITY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Per Share (EPS)</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net income (loss) per share attributable to common stockholders is based upon the weighted-average number of shares of common stock outstanding during the year. Diluted net income (loss) per share attributable to common stockholders is based upon the weighted-average number of shares of common stock outstanding and the weighted-average number of shares outstanding assuming the issuance of common stock upon exercise of stock options, warrants to purchase common stock, and the vesting of restricted stock grants per ASC Topic 260, “Earnings Per Share.”</w:t>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7420" w:type="dxa"/>
            <w:vAlign w:val="bottom"/>
          </w:tcPr>
          <w:p>
            <w:pPr>
              <w:spacing w:after="0"/>
              <w:rPr>
                <w:sz w:val="20"/>
                <w:szCs w:val="20"/>
                <w:color w:val="auto"/>
              </w:rPr>
            </w:pPr>
          </w:p>
        </w:tc>
        <w:tc>
          <w:tcPr>
            <w:tcW w:w="3600" w:type="dxa"/>
            <w:vAlign w:val="bottom"/>
            <w:tcBorders>
              <w:bottom w:val="single" w:sz="8" w:color="auto"/>
            </w:tcBorders>
            <w:gridSpan w:val="3"/>
          </w:tcPr>
          <w:p>
            <w:pPr>
              <w:ind w:left="64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0" w:type="dxa"/>
            <w:vAlign w:val="bottom"/>
          </w:tcPr>
          <w:p>
            <w:pPr>
              <w:spacing w:after="0"/>
              <w:rPr>
                <w:sz w:val="1"/>
                <w:szCs w:val="1"/>
                <w:color w:val="auto"/>
              </w:rPr>
            </w:pPr>
          </w:p>
        </w:tc>
      </w:tr>
      <w:tr>
        <w:trPr>
          <w:trHeight w:val="223"/>
        </w:trPr>
        <w:tc>
          <w:tcPr>
            <w:tcW w:w="74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Weighted-average number of shares outstanding:</w:t>
            </w:r>
          </w:p>
        </w:tc>
        <w:tc>
          <w:tcPr>
            <w:tcW w:w="164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tcPr>
          <w:p>
            <w:pPr>
              <w:spacing w:after="0"/>
              <w:rPr>
                <w:sz w:val="19"/>
                <w:szCs w:val="19"/>
                <w:color w:val="auto"/>
              </w:rPr>
            </w:pPr>
          </w:p>
        </w:tc>
        <w:tc>
          <w:tcPr>
            <w:tcW w:w="16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09"/>
        </w:trPr>
        <w:tc>
          <w:tcPr>
            <w:tcW w:w="7420" w:type="dxa"/>
            <w:vAlign w:val="bottom"/>
            <w:vMerge w:val="continue"/>
          </w:tcPr>
          <w:p>
            <w:pPr>
              <w:spacing w:after="0"/>
              <w:rPr>
                <w:sz w:val="18"/>
                <w:szCs w:val="18"/>
                <w:color w:val="auto"/>
              </w:rPr>
            </w:pPr>
          </w:p>
        </w:tc>
        <w:tc>
          <w:tcPr>
            <w:tcW w:w="1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Common stock</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26,788,345</w:t>
            </w:r>
          </w:p>
        </w:tc>
        <w:tc>
          <w:tcPr>
            <w:tcW w:w="3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26,647,565</w:t>
            </w:r>
          </w:p>
        </w:tc>
        <w:tc>
          <w:tcPr>
            <w:tcW w:w="0" w:type="dxa"/>
            <w:vAlign w:val="bottom"/>
          </w:tcPr>
          <w:p>
            <w:pPr>
              <w:spacing w:after="0"/>
              <w:rPr>
                <w:sz w:val="1"/>
                <w:szCs w:val="1"/>
                <w:color w:val="auto"/>
              </w:rPr>
            </w:pPr>
          </w:p>
        </w:tc>
      </w:tr>
      <w:tr>
        <w:trPr>
          <w:trHeight w:val="229"/>
        </w:trPr>
        <w:tc>
          <w:tcPr>
            <w:tcW w:w="7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Common stock equivalents</w:t>
            </w:r>
          </w:p>
        </w:tc>
        <w:tc>
          <w:tcPr>
            <w:tcW w:w="1960" w:type="dxa"/>
            <w:vAlign w:val="bottom"/>
            <w:gridSpan w:val="2"/>
          </w:tcPr>
          <w:p>
            <w:pPr>
              <w:ind w:left="1380"/>
              <w:spacing w:after="0" w:line="230"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vertAlign w:val="superscript"/>
              </w:rPr>
              <w:t>1</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1,783</w:t>
            </w:r>
          </w:p>
        </w:tc>
        <w:tc>
          <w:tcPr>
            <w:tcW w:w="0" w:type="dxa"/>
            <w:vAlign w:val="bottom"/>
          </w:tcPr>
          <w:p>
            <w:pPr>
              <w:spacing w:after="0"/>
              <w:rPr>
                <w:sz w:val="1"/>
                <w:szCs w:val="1"/>
                <w:color w:val="auto"/>
              </w:rPr>
            </w:pPr>
          </w:p>
        </w:tc>
      </w:tr>
      <w:tr>
        <w:trPr>
          <w:trHeight w:val="230"/>
        </w:trPr>
        <w:tc>
          <w:tcPr>
            <w:tcW w:w="74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 shares outstanding</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26,788,345</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26,649,348</w:t>
            </w:r>
          </w:p>
        </w:tc>
        <w:tc>
          <w:tcPr>
            <w:tcW w:w="0" w:type="dxa"/>
            <w:vAlign w:val="bottom"/>
          </w:tcPr>
          <w:p>
            <w:pPr>
              <w:spacing w:after="0"/>
              <w:rPr>
                <w:sz w:val="1"/>
                <w:szCs w:val="1"/>
                <w:color w:val="auto"/>
              </w:rPr>
            </w:pPr>
          </w:p>
        </w:tc>
      </w:tr>
    </w:tbl>
    <w:p>
      <w:pPr>
        <w:ind w:left="460" w:right="360" w:hanging="9"/>
        <w:spacing w:after="0" w:line="209" w:lineRule="auto"/>
        <w:tabs>
          <w:tab w:leader="none" w:pos="565" w:val="left"/>
        </w:tabs>
        <w:numPr>
          <w:ilvl w:val="0"/>
          <w:numId w:val="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For the three months ended March 31, 2024, 69,348 shares of restricted stock were excluded from the calculation of dilutive net income per share as the shares were antidilutive.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-226060</wp:posOffset>
            </wp:positionV>
            <wp:extent cx="228917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2891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3" w:right="359" w:bottom="1440" w:gutter="0" w:footer="0" w:header="0"/>
        </w:sectPr>
      </w:pPr>
    </w:p>
    <w:bookmarkStart w:id="11" w:name="page12"/>
    <w:bookmarkEnd w:id="11"/>
    <w:p>
      <w:pPr>
        <w:ind w:left="360" w:hanging="352"/>
        <w:spacing w:after="0"/>
        <w:tabs>
          <w:tab w:leader="none" w:pos="3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MARKETABLE SECURITIES</w:t>
      </w:r>
    </w:p>
    <w:p>
      <w:pPr>
        <w:spacing w:after="0" w:line="10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ASC Topic 320, “Investments – Debt and Equity Securities,” requires that an enterprise classify all debt securities as either held-to-maturity, trading or available-for-sale. The Company has elected to classify its securities as available-for-sale and therefore is required to adjust securities to fair value at each reporting date. All costs and both realized and unrealized gains and losses on securities are determined on a specific identification basis. The following is a summary of available-for-sale securities at: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1860" w:type="dxa"/>
            <w:vAlign w:val="bottom"/>
            <w:vMerge w:val="restart"/>
          </w:tcPr>
          <w:p>
            <w:pPr>
              <w:jc w:val="center"/>
              <w:ind w:left="610"/>
              <w:spacing w:after="0"/>
              <w:rPr>
                <w:sz w:val="20"/>
                <w:szCs w:val="20"/>
                <w:color w:val="auto"/>
              </w:rPr>
            </w:pPr>
            <w:r>
              <w:rPr>
                <w:rFonts w:ascii="Times New Roman" w:cs="Times New Roman" w:eastAsia="Times New Roman" w:hAnsi="Times New Roman"/>
                <w:sz w:val="18"/>
                <w:szCs w:val="18"/>
                <w:color w:val="auto"/>
                <w:w w:val="99"/>
              </w:rPr>
              <w:t>Fair Value</w:t>
            </w:r>
          </w:p>
        </w:tc>
        <w:tc>
          <w:tcPr>
            <w:tcW w:w="260" w:type="dxa"/>
            <w:vAlign w:val="bottom"/>
          </w:tcPr>
          <w:p>
            <w:pPr>
              <w:spacing w:after="0"/>
              <w:rPr>
                <w:sz w:val="20"/>
                <w:szCs w:val="20"/>
                <w:color w:val="auto"/>
              </w:rPr>
            </w:pPr>
          </w:p>
        </w:tc>
        <w:tc>
          <w:tcPr>
            <w:tcW w:w="222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March 31, 2024</w:t>
            </w:r>
          </w:p>
        </w:tc>
        <w:tc>
          <w:tcPr>
            <w:tcW w:w="260" w:type="dxa"/>
            <w:vAlign w:val="bottom"/>
          </w:tcPr>
          <w:p>
            <w:pPr>
              <w:spacing w:after="0"/>
              <w:rPr>
                <w:sz w:val="20"/>
                <w:szCs w:val="20"/>
                <w:color w:val="auto"/>
              </w:rPr>
            </w:pPr>
          </w:p>
        </w:tc>
        <w:tc>
          <w:tcPr>
            <w:tcW w:w="2120" w:type="dxa"/>
            <w:vAlign w:val="bottom"/>
            <w:gridSpan w:val="4"/>
          </w:tcPr>
          <w:p>
            <w:pPr>
              <w:jc w:val="right"/>
              <w:ind w:right="390"/>
              <w:spacing w:after="0"/>
              <w:rPr>
                <w:sz w:val="20"/>
                <w:szCs w:val="20"/>
                <w:color w:val="auto"/>
              </w:rPr>
            </w:pPr>
            <w:r>
              <w:rPr>
                <w:rFonts w:ascii="Times New Roman" w:cs="Times New Roman" w:eastAsia="Times New Roman" w:hAnsi="Times New Roman"/>
                <w:sz w:val="18"/>
                <w:szCs w:val="18"/>
                <w:color w:val="auto"/>
              </w:rPr>
              <w:t>December 31, 2023</w:t>
            </w:r>
          </w:p>
        </w:tc>
        <w:tc>
          <w:tcPr>
            <w:tcW w:w="0" w:type="dxa"/>
            <w:vAlign w:val="bottom"/>
          </w:tcPr>
          <w:p>
            <w:pPr>
              <w:spacing w:after="0"/>
              <w:rPr>
                <w:sz w:val="1"/>
                <w:szCs w:val="1"/>
                <w:color w:val="auto"/>
              </w:rPr>
            </w:pPr>
          </w:p>
        </w:tc>
      </w:tr>
      <w:tr>
        <w:trPr>
          <w:trHeight w:val="155"/>
        </w:trPr>
        <w:tc>
          <w:tcPr>
            <w:tcW w:w="4460" w:type="dxa"/>
            <w:vAlign w:val="bottom"/>
          </w:tcPr>
          <w:p>
            <w:pPr>
              <w:spacing w:after="0"/>
              <w:rPr>
                <w:sz w:val="13"/>
                <w:szCs w:val="13"/>
                <w:color w:val="auto"/>
              </w:rPr>
            </w:pPr>
          </w:p>
        </w:tc>
        <w:tc>
          <w:tcPr>
            <w:tcW w:w="1860" w:type="dxa"/>
            <w:vAlign w:val="bottom"/>
            <w:vMerge w:val="continue"/>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2120" w:type="dxa"/>
            <w:vAlign w:val="bottom"/>
            <w:gridSpan w:val="2"/>
          </w:tcPr>
          <w:p>
            <w:pPr>
              <w:jc w:val="center"/>
              <w:ind w:left="350"/>
              <w:spacing w:after="0"/>
              <w:rPr>
                <w:sz w:val="20"/>
                <w:szCs w:val="20"/>
                <w:color w:val="auto"/>
              </w:rPr>
            </w:pPr>
            <w:r>
              <w:rPr>
                <w:rFonts w:ascii="Times New Roman" w:cs="Times New Roman" w:eastAsia="Times New Roman" w:hAnsi="Times New Roman"/>
                <w:sz w:val="18"/>
                <w:szCs w:val="18"/>
                <w:color w:val="auto"/>
                <w:w w:val="99"/>
              </w:rPr>
              <w:t>Hierarchy</w:t>
            </w: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Cost</w:t>
            </w:r>
          </w:p>
        </w:tc>
        <w:tc>
          <w:tcPr>
            <w:tcW w:w="160" w:type="dxa"/>
            <w:vAlign w:val="bottom"/>
          </w:tcPr>
          <w:p>
            <w:pPr>
              <w:spacing w:after="0"/>
              <w:rPr>
                <w:sz w:val="21"/>
                <w:szCs w:val="21"/>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Fair Value</w:t>
            </w:r>
          </w:p>
        </w:tc>
        <w:tc>
          <w:tcPr>
            <w:tcW w:w="260" w:type="dxa"/>
            <w:vAlign w:val="bottom"/>
          </w:tcPr>
          <w:p>
            <w:pPr>
              <w:spacing w:after="0"/>
              <w:rPr>
                <w:sz w:val="21"/>
                <w:szCs w:val="21"/>
                <w:color w:val="auto"/>
              </w:rPr>
            </w:pPr>
          </w:p>
        </w:tc>
        <w:tc>
          <w:tcPr>
            <w:tcW w:w="10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Cost</w:t>
            </w:r>
          </w:p>
        </w:tc>
        <w:tc>
          <w:tcPr>
            <w:tcW w:w="140" w:type="dxa"/>
            <w:vAlign w:val="bottom"/>
          </w:tcPr>
          <w:p>
            <w:pPr>
              <w:spacing w:after="0"/>
              <w:rPr>
                <w:sz w:val="21"/>
                <w:szCs w:val="21"/>
                <w:color w:val="auto"/>
              </w:rPr>
            </w:pPr>
          </w:p>
        </w:tc>
        <w:tc>
          <w:tcPr>
            <w:tcW w:w="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Fair Value</w:t>
            </w:r>
          </w:p>
        </w:tc>
        <w:tc>
          <w:tcPr>
            <w:tcW w:w="0" w:type="dxa"/>
            <w:vAlign w:val="bottom"/>
          </w:tcPr>
          <w:p>
            <w:pPr>
              <w:spacing w:after="0"/>
              <w:rPr>
                <w:sz w:val="1"/>
                <w:szCs w:val="1"/>
                <w:color w:val="auto"/>
              </w:rPr>
            </w:pPr>
          </w:p>
        </w:tc>
      </w:tr>
      <w:tr>
        <w:trPr>
          <w:trHeight w:val="209"/>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Certificates of deposit</w:t>
            </w:r>
          </w:p>
        </w:tc>
        <w:tc>
          <w:tcPr>
            <w:tcW w:w="18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with unrealized losses for less than 12 months</w:t>
            </w:r>
          </w:p>
        </w:tc>
        <w:tc>
          <w:tcPr>
            <w:tcW w:w="2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29"/>
        </w:trPr>
        <w:tc>
          <w:tcPr>
            <w:tcW w:w="44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with unrealized gains</w:t>
            </w:r>
          </w:p>
        </w:tc>
        <w:tc>
          <w:tcPr>
            <w:tcW w:w="18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0" w:type="dxa"/>
            <w:vAlign w:val="bottom"/>
          </w:tcPr>
          <w:p>
            <w:pPr>
              <w:spacing w:after="0"/>
              <w:rPr>
                <w:sz w:val="1"/>
                <w:szCs w:val="1"/>
                <w:color w:val="auto"/>
              </w:rPr>
            </w:pPr>
          </w:p>
        </w:tc>
      </w:tr>
      <w:tr>
        <w:trPr>
          <w:trHeight w:val="223"/>
        </w:trPr>
        <w:tc>
          <w:tcPr>
            <w:tcW w:w="4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Certificates of deposit</w:t>
            </w:r>
          </w:p>
        </w:tc>
        <w:tc>
          <w:tcPr>
            <w:tcW w:w="1860" w:type="dxa"/>
            <w:vAlign w:val="bottom"/>
            <w:shd w:val="clear" w:color="auto" w:fill="CCEEFF"/>
          </w:tcPr>
          <w:p>
            <w:pPr>
              <w:jc w:val="center"/>
              <w:ind w:left="610"/>
              <w:spacing w:after="0"/>
              <w:rPr>
                <w:sz w:val="20"/>
                <w:szCs w:val="20"/>
                <w:color w:val="auto"/>
              </w:rPr>
            </w:pPr>
            <w:r>
              <w:rPr>
                <w:rFonts w:ascii="Times New Roman" w:cs="Times New Roman" w:eastAsia="Times New Roman" w:hAnsi="Times New Roman"/>
                <w:sz w:val="18"/>
                <w:szCs w:val="18"/>
                <w:color w:val="auto"/>
              </w:rPr>
              <w:t>Level 1</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0" w:type="dxa"/>
            <w:vAlign w:val="bottom"/>
          </w:tcPr>
          <w:p>
            <w:pPr>
              <w:spacing w:after="0"/>
              <w:rPr>
                <w:sz w:val="1"/>
                <w:szCs w:val="1"/>
                <w:color w:val="auto"/>
              </w:rPr>
            </w:pPr>
          </w:p>
        </w:tc>
      </w:tr>
      <w:tr>
        <w:trPr>
          <w:trHeight w:val="209"/>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U.S. Treasury and agency notes</w:t>
            </w:r>
          </w:p>
        </w:tc>
        <w:tc>
          <w:tcPr>
            <w:tcW w:w="1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with unrealized losses for less than 12 months</w:t>
            </w:r>
          </w:p>
        </w:tc>
        <w:tc>
          <w:tcPr>
            <w:tcW w:w="1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13,787</w:t>
            </w:r>
          </w:p>
        </w:tc>
        <w:tc>
          <w:tcPr>
            <w:tcW w:w="0" w:type="dxa"/>
            <w:vAlign w:val="bottom"/>
          </w:tcPr>
          <w:p>
            <w:pPr>
              <w:spacing w:after="0"/>
              <w:rPr>
                <w:sz w:val="1"/>
                <w:szCs w:val="1"/>
                <w:color w:val="auto"/>
              </w:rPr>
            </w:pPr>
          </w:p>
        </w:tc>
      </w:tr>
      <w:tr>
        <w:trPr>
          <w:trHeight w:val="230"/>
        </w:trPr>
        <w:tc>
          <w:tcPr>
            <w:tcW w:w="4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with unrealized losses for more than 12 months</w:t>
            </w:r>
          </w:p>
        </w:tc>
        <w:tc>
          <w:tcPr>
            <w:tcW w:w="1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with unrealized gains</w:t>
            </w:r>
          </w:p>
        </w:tc>
        <w:tc>
          <w:tcPr>
            <w:tcW w:w="18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2,374</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2,374</w:t>
            </w:r>
          </w:p>
        </w:tc>
        <w:tc>
          <w:tcPr>
            <w:tcW w:w="0" w:type="dxa"/>
            <w:vAlign w:val="bottom"/>
          </w:tcPr>
          <w:p>
            <w:pPr>
              <w:spacing w:after="0"/>
              <w:rPr>
                <w:sz w:val="1"/>
                <w:szCs w:val="1"/>
                <w:color w:val="auto"/>
              </w:rPr>
            </w:pPr>
          </w:p>
        </w:tc>
      </w:tr>
      <w:tr>
        <w:trPr>
          <w:trHeight w:val="223"/>
        </w:trPr>
        <w:tc>
          <w:tcPr>
            <w:tcW w:w="44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U.S. Treasury and agency notes</w:t>
            </w:r>
          </w:p>
        </w:tc>
        <w:tc>
          <w:tcPr>
            <w:tcW w:w="1860" w:type="dxa"/>
            <w:vAlign w:val="bottom"/>
            <w:tcBorders>
              <w:bottom w:val="single" w:sz="8" w:color="CCEEFF"/>
            </w:tcBorders>
          </w:tcPr>
          <w:p>
            <w:pPr>
              <w:jc w:val="center"/>
              <w:ind w:left="610"/>
              <w:spacing w:after="0"/>
              <w:rPr>
                <w:sz w:val="20"/>
                <w:szCs w:val="20"/>
                <w:color w:val="auto"/>
              </w:rPr>
            </w:pPr>
            <w:r>
              <w:rPr>
                <w:rFonts w:ascii="Times New Roman" w:cs="Times New Roman" w:eastAsia="Times New Roman" w:hAnsi="Times New Roman"/>
                <w:sz w:val="18"/>
                <w:szCs w:val="18"/>
                <w:color w:val="auto"/>
              </w:rPr>
              <w:t>Level 2</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13,271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13,252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16,171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16,161</w:t>
            </w:r>
          </w:p>
        </w:tc>
        <w:tc>
          <w:tcPr>
            <w:tcW w:w="0" w:type="dxa"/>
            <w:vAlign w:val="bottom"/>
          </w:tcPr>
          <w:p>
            <w:pPr>
              <w:spacing w:after="0"/>
              <w:rPr>
                <w:sz w:val="1"/>
                <w:szCs w:val="1"/>
                <w:color w:val="auto"/>
              </w:rPr>
            </w:pPr>
          </w:p>
        </w:tc>
      </w:tr>
      <w:tr>
        <w:trPr>
          <w:trHeight w:val="209"/>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Corporate notes</w:t>
            </w:r>
          </w:p>
        </w:tc>
        <w:tc>
          <w:tcPr>
            <w:tcW w:w="1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with unrealized losses for less than 12 months</w:t>
            </w:r>
          </w:p>
        </w:tc>
        <w:tc>
          <w:tcPr>
            <w:tcW w:w="1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15,598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15,587</w:t>
            </w: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with unrealized gains</w:t>
            </w:r>
          </w:p>
        </w:tc>
        <w:tc>
          <w:tcPr>
            <w:tcW w:w="1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rPr>
                <w:sz w:val="1"/>
                <w:szCs w:val="1"/>
                <w:color w:val="auto"/>
              </w:rPr>
            </w:pPr>
          </w:p>
        </w:tc>
      </w:tr>
      <w:tr>
        <w:trPr>
          <w:trHeight w:val="223"/>
        </w:trPr>
        <w:tc>
          <w:tcPr>
            <w:tcW w:w="44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Corporate notes</w:t>
            </w:r>
          </w:p>
        </w:tc>
        <w:tc>
          <w:tcPr>
            <w:tcW w:w="1860" w:type="dxa"/>
            <w:vAlign w:val="bottom"/>
            <w:tcBorders>
              <w:bottom w:val="single" w:sz="8" w:color="CCEEFF"/>
            </w:tcBorders>
          </w:tcPr>
          <w:p>
            <w:pPr>
              <w:jc w:val="center"/>
              <w:ind w:left="610"/>
              <w:spacing w:after="0"/>
              <w:rPr>
                <w:sz w:val="20"/>
                <w:szCs w:val="20"/>
                <w:color w:val="auto"/>
              </w:rPr>
            </w:pPr>
            <w:r>
              <w:rPr>
                <w:rFonts w:ascii="Times New Roman" w:cs="Times New Roman" w:eastAsia="Times New Roman" w:hAnsi="Times New Roman"/>
                <w:sz w:val="18"/>
                <w:szCs w:val="18"/>
                <w:color w:val="auto"/>
              </w:rPr>
              <w:t>Level 2</w:t>
            </w: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11,468</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11,458</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15,847</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15,836</w:t>
            </w:r>
          </w:p>
        </w:tc>
        <w:tc>
          <w:tcPr>
            <w:tcW w:w="0" w:type="dxa"/>
            <w:vAlign w:val="bottom"/>
          </w:tcPr>
          <w:p>
            <w:pPr>
              <w:spacing w:after="0"/>
              <w:rPr>
                <w:sz w:val="1"/>
                <w:szCs w:val="1"/>
                <w:color w:val="auto"/>
              </w:rPr>
            </w:pPr>
          </w:p>
        </w:tc>
      </w:tr>
      <w:tr>
        <w:trPr>
          <w:trHeight w:val="250"/>
        </w:trPr>
        <w:tc>
          <w:tcPr>
            <w:tcW w:w="4460" w:type="dxa"/>
            <w:vAlign w:val="bottom"/>
            <w:shd w:val="clear" w:color="auto" w:fill="CCEEFF"/>
          </w:tcPr>
          <w:p>
            <w:pPr>
              <w:spacing w:after="0"/>
              <w:rPr>
                <w:sz w:val="21"/>
                <w:szCs w:val="21"/>
                <w:color w:val="auto"/>
              </w:rPr>
            </w:pPr>
          </w:p>
        </w:tc>
        <w:tc>
          <w:tcPr>
            <w:tcW w:w="18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460" w:type="dxa"/>
            <w:vAlign w:val="bottom"/>
          </w:tcPr>
          <w:p>
            <w:pPr>
              <w:spacing w:after="0"/>
              <w:rPr>
                <w:sz w:val="19"/>
                <w:szCs w:val="19"/>
                <w:color w:val="auto"/>
              </w:rPr>
            </w:pPr>
          </w:p>
        </w:tc>
        <w:tc>
          <w:tcPr>
            <w:tcW w:w="2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25,148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25,119</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32,577</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32,556</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uses an allowance approach when recognizing credit loss for available-for-sale debt securities, measured as the difference between the security's amortized cost basis and the amount expected to be collected over the security's lifetime. Under this approach, at each reporting date, the Company records impairment related to credit losses through earnings offset with an allowance for credit losses, or ACL. At March 31, 2024, the Company has not recorded any credit losses.</w:t>
      </w:r>
    </w:p>
    <w:p>
      <w:pPr>
        <w:spacing w:after="0" w:line="58"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As of March 31, 2024, the fair market value of investment securities was $29,000 below their cost basis. The Company’s gross unrealized holding gains equaled $0 and gross unrealized holding losses equaled $29,000. For the three-months ended March 31, 2024, the adjustment to accumulated other comprehensive loss reflected a decline in market value of $8,000, including estimated taxes of $2,000.</w:t>
      </w:r>
    </w:p>
    <w:p>
      <w:pPr>
        <w:spacing w:after="0" w:line="4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Company elected to exclude applicable accrued interest from both the fair value and the amortized cost basis of the available-for-sale debt securities, and separately present the accrued interest receivable balance per ASC Topic 326-30-50-3A. The accrued interest receivables balance totaled $179,000 as of March 31, 2024 and was included within the Prepaid expenses and other current assets line item of the Consolidated Balance Sheets. The Company elected not to measure an allowance for credit losses on accrued interest receivable, as an allowance on possible uncollectible accrued interest is not warranted.</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U.S. Treasury and agency notes</w:t>
      </w:r>
    </w:p>
    <w:p>
      <w:pPr>
        <w:spacing w:after="0" w:line="10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unrealized losses on the Company's investments in U.S. Treasury and agency notes at March 31, 2024 and December 31, 2023 were caused by relative changes in interest rates since the time of purchase and not changes in credit quality. The contractual cash flows for these securities are guaranteed by U.S. government agencies. As of March 31, 2024 and December 31, 2023, the Company did not intend to sell these securities and it is not more-likely-than-not that the Company would be required to sell these securities before recovery of their cost basis. Therefore, these investments did not require an ACL as of March 31, 2024 and December 31, 2023.</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9"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auto"/>
        </w:rPr>
        <w:t>Corporate notes</w:t>
      </w:r>
    </w:p>
    <w:p>
      <w:pPr>
        <w:spacing w:after="0" w:line="9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unrealized losses on corporate notes are a function of changes in investment spreads and interest rate movements and not changes in credit quality. The Company expects to recover the entire amortized cost basis of these securities. As of March 31, 2024 and December 31, 2023, the Company did not intend to sell these securities and it is not more-likely-than-not the Company would be required to sell these securities before recovery of their cost basis. Therefore, these investments did not require an ACL as of March 31, 2024 and December 31, 2023.</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tables summarize the maturities, at par, of marketable securities as of:</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51"/>
        </w:trPr>
        <w:tc>
          <w:tcPr>
            <w:tcW w:w="79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color w:val="auto"/>
              </w:rPr>
              <w:t>March 31, 2024</w:t>
            </w: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r>
        <w:trPr>
          <w:trHeight w:val="223"/>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r>
      <w:tr>
        <w:trPr>
          <w:trHeight w:val="23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 and agency notes</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13,356</w:t>
            </w:r>
          </w:p>
        </w:tc>
      </w:tr>
      <w:tr>
        <w:trPr>
          <w:trHeight w:val="22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notes</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11,500</w:t>
            </w:r>
          </w:p>
        </w:tc>
      </w:tr>
      <w:tr>
        <w:trPr>
          <w:trHeight w:val="223"/>
        </w:trPr>
        <w:tc>
          <w:tcPr>
            <w:tcW w:w="79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21,766</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25,266</w:t>
            </w:r>
          </w:p>
        </w:tc>
      </w:tr>
      <w:tr>
        <w:trPr>
          <w:trHeight w:val="21"/>
        </w:trPr>
        <w:tc>
          <w:tcPr>
            <w:tcW w:w="7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r>
      <w:tr>
        <w:trPr>
          <w:trHeight w:val="642"/>
        </w:trPr>
        <w:tc>
          <w:tcPr>
            <w:tcW w:w="7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4"/>
          </w:tcPr>
          <w:p>
            <w:pPr>
              <w:jc w:val="right"/>
              <w:ind w:right="290"/>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23"/>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22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gridSpan w:val="2"/>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r>
      <w:tr>
        <w:trPr>
          <w:trHeight w:val="229"/>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 and agency notes</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16,212</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16,212</w:t>
            </w:r>
          </w:p>
        </w:tc>
      </w:tr>
      <w:tr>
        <w:trPr>
          <w:trHeight w:val="23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notes</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15,880</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15,880</w:t>
            </w:r>
          </w:p>
        </w:tc>
      </w:tr>
      <w:tr>
        <w:trPr>
          <w:trHeight w:val="223"/>
        </w:trPr>
        <w:tc>
          <w:tcPr>
            <w:tcW w:w="7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gridSpan w:val="2"/>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32,652</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32,652</w:t>
            </w:r>
          </w:p>
        </w:tc>
      </w:tr>
      <w:tr>
        <w:trPr>
          <w:trHeight w:val="21"/>
        </w:trPr>
        <w:tc>
          <w:tcPr>
            <w:tcW w:w="7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investments in corporate notes are with companies that have an investment grade rating from Standard &amp; Poor’s as of March 31, 2024.</w:t>
      </w:r>
    </w:p>
    <w:p>
      <w:pPr>
        <w:spacing w:after="0" w:line="100" w:lineRule="exact"/>
        <w:rPr>
          <w:sz w:val="20"/>
          <w:szCs w:val="20"/>
          <w:color w:val="auto"/>
        </w:rPr>
      </w:pPr>
    </w:p>
    <w:p>
      <w:pPr>
        <w:ind w:left="360" w:hanging="352"/>
        <w:spacing w:after="0"/>
        <w:tabs>
          <w:tab w:leader="none" w:pos="3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REAL ESTATE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accumulated real estate development costs by project consisted of the following:</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2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March 31, 2024</w:t>
            </w:r>
          </w:p>
        </w:tc>
        <w:tc>
          <w:tcPr>
            <w:tcW w:w="260" w:type="dxa"/>
            <w:vAlign w:val="bottom"/>
          </w:tcPr>
          <w:p>
            <w:pPr>
              <w:spacing w:after="0"/>
              <w:rPr>
                <w:sz w:val="20"/>
                <w:szCs w:val="20"/>
                <w:color w:val="auto"/>
              </w:rPr>
            </w:pPr>
          </w:p>
        </w:tc>
        <w:tc>
          <w:tcPr>
            <w:tcW w:w="20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December 31, 2023</w:t>
            </w:r>
          </w:p>
        </w:tc>
        <w:tc>
          <w:tcPr>
            <w:tcW w:w="0" w:type="dxa"/>
            <w:vAlign w:val="bottom"/>
          </w:tcPr>
          <w:p>
            <w:pPr>
              <w:spacing w:after="0"/>
              <w:rPr>
                <w:sz w:val="1"/>
                <w:szCs w:val="1"/>
                <w:color w:val="auto"/>
              </w:rPr>
            </w:pPr>
          </w:p>
        </w:tc>
      </w:tr>
      <w:tr>
        <w:trPr>
          <w:trHeight w:val="20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 development</w:t>
            </w:r>
          </w:p>
        </w:tc>
        <w:tc>
          <w:tcPr>
            <w:tcW w:w="20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0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Mountain Village</w:t>
            </w:r>
          </w:p>
        </w:tc>
        <w:tc>
          <w:tcPr>
            <w:tcW w:w="23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155,903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155,168</w:t>
            </w:r>
          </w:p>
        </w:tc>
        <w:tc>
          <w:tcPr>
            <w:tcW w:w="0" w:type="dxa"/>
            <w:vAlign w:val="bottom"/>
          </w:tcPr>
          <w:p>
            <w:pPr>
              <w:spacing w:after="0"/>
              <w:rPr>
                <w:sz w:val="1"/>
                <w:szCs w:val="1"/>
                <w:color w:val="auto"/>
              </w:rPr>
            </w:pPr>
          </w:p>
        </w:tc>
      </w:tr>
      <w:tr>
        <w:trPr>
          <w:trHeight w:val="230"/>
        </w:trPr>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Centennial</w:t>
            </w:r>
          </w:p>
        </w:tc>
        <w:tc>
          <w:tcPr>
            <w:tcW w:w="2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121,133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119,788</w:t>
            </w: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Grapevine</w:t>
            </w:r>
          </w:p>
        </w:tc>
        <w:tc>
          <w:tcPr>
            <w:tcW w:w="20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41,106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40,716</w:t>
            </w:r>
          </w:p>
        </w:tc>
        <w:tc>
          <w:tcPr>
            <w:tcW w:w="0" w:type="dxa"/>
            <w:vAlign w:val="bottom"/>
          </w:tcPr>
          <w:p>
            <w:pPr>
              <w:spacing w:after="0"/>
              <w:rPr>
                <w:sz w:val="1"/>
                <w:szCs w:val="1"/>
                <w:color w:val="auto"/>
              </w:rPr>
            </w:pPr>
          </w:p>
        </w:tc>
      </w:tr>
      <w:tr>
        <w:trPr>
          <w:trHeight w:val="229"/>
        </w:trPr>
        <w:tc>
          <w:tcPr>
            <w:tcW w:w="4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Tejon Ranch Commerce Center</w:t>
            </w:r>
          </w:p>
        </w:tc>
        <w:tc>
          <w:tcPr>
            <w:tcW w:w="20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24,056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21,585</w:t>
            </w:r>
          </w:p>
        </w:tc>
        <w:tc>
          <w:tcPr>
            <w:tcW w:w="0" w:type="dxa"/>
            <w:vAlign w:val="bottom"/>
          </w:tcPr>
          <w:p>
            <w:pPr>
              <w:spacing w:after="0"/>
              <w:rPr>
                <w:sz w:val="1"/>
                <w:szCs w:val="1"/>
                <w:color w:val="auto"/>
              </w:rPr>
            </w:pPr>
          </w:p>
        </w:tc>
      </w:tr>
      <w:tr>
        <w:trPr>
          <w:trHeight w:val="248"/>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 development</w:t>
            </w:r>
          </w:p>
        </w:tc>
        <w:tc>
          <w:tcPr>
            <w:tcW w:w="20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342,198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337,257</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5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 and improvements - held for lease</w:t>
            </w:r>
          </w:p>
        </w:tc>
        <w:tc>
          <w:tcPr>
            <w:tcW w:w="20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Tejon Ranch Commerce Center</w:t>
            </w:r>
          </w:p>
        </w:tc>
        <w:tc>
          <w:tcPr>
            <w:tcW w:w="23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20,642</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20,606</w:t>
            </w: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0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(3,997)</w:t>
            </w:r>
          </w:p>
        </w:tc>
        <w:tc>
          <w:tcPr>
            <w:tcW w:w="0" w:type="dxa"/>
            <w:vAlign w:val="bottom"/>
          </w:tcPr>
          <w:p>
            <w:pPr>
              <w:spacing w:after="0"/>
              <w:rPr>
                <w:sz w:val="1"/>
                <w:szCs w:val="1"/>
                <w:color w:val="auto"/>
              </w:rPr>
            </w:pPr>
          </w:p>
        </w:tc>
      </w:tr>
      <w:tr>
        <w:trPr>
          <w:trHeight w:val="223"/>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 and improvements - held for lease, net</w:t>
            </w:r>
          </w:p>
        </w:tc>
        <w:tc>
          <w:tcPr>
            <w:tcW w:w="204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16,559</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16,609</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040" w:type="dxa"/>
            <w:vAlign w:val="bottom"/>
            <w:vMerge w:val="restart"/>
          </w:tcPr>
          <w:p>
            <w:pPr>
              <w:jc w:val="right"/>
              <w:ind w:right="810"/>
              <w:spacing w:after="0"/>
              <w:rPr>
                <w:sz w:val="20"/>
                <w:szCs w:val="20"/>
                <w:color w:val="auto"/>
              </w:rPr>
            </w:pPr>
            <w:r>
              <w:rPr>
                <w:rFonts w:ascii="Times New Roman" w:cs="Times New Roman" w:eastAsia="Times New Roman" w:hAnsi="Times New Roman"/>
                <w:sz w:val="18"/>
                <w:szCs w:val="18"/>
                <w:color w:val="auto"/>
              </w:rPr>
              <w:t>13</w:t>
            </w:r>
          </w:p>
        </w:tc>
        <w:tc>
          <w:tcPr>
            <w:tcW w:w="3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4580" w:type="dxa"/>
            <w:vAlign w:val="bottom"/>
          </w:tcPr>
          <w:p>
            <w:pPr>
              <w:spacing w:after="0"/>
              <w:rPr>
                <w:sz w:val="24"/>
                <w:szCs w:val="24"/>
                <w:color w:val="auto"/>
              </w:rPr>
            </w:pPr>
          </w:p>
        </w:tc>
        <w:tc>
          <w:tcPr>
            <w:tcW w:w="20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80" w:type="dxa"/>
            <w:vAlign w:val="bottom"/>
            <w:tcBorders>
              <w:bottom w:val="single" w:sz="8" w:color="9A9A9A"/>
            </w:tcBorders>
          </w:tcPr>
          <w:p>
            <w:pPr>
              <w:spacing w:after="0"/>
              <w:rPr>
                <w:sz w:val="10"/>
                <w:szCs w:val="10"/>
                <w:color w:val="auto"/>
              </w:rPr>
            </w:pPr>
          </w:p>
        </w:tc>
        <w:tc>
          <w:tcPr>
            <w:tcW w:w="20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3" w:name="page14"/>
    <w:bookmarkEnd w:id="13"/>
    <w:p>
      <w:pPr>
        <w:ind w:left="360" w:hanging="352"/>
        <w:spacing w:after="0"/>
        <w:tabs>
          <w:tab w:leader="none" w:pos="3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LONG-TERM WATER ASSETS</w:t>
      </w:r>
    </w:p>
    <w:p>
      <w:pPr>
        <w:spacing w:after="0" w:line="10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Long-term water assets consist of water and water contracts held for future use or sale. The water is held at cost, which includes the price paid for the water and the cost to pump and deliver the water from the California aqueduct into the water bank. Water is currently held in a water bank on Company land in southern Kern County and by TCWD in Kern County Water Banks.</w:t>
      </w:r>
    </w:p>
    <w:p>
      <w:pPr>
        <w:spacing w:after="0" w:line="4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has secured SWP entitlements under long-term SWP water contracts within the Tulare Lake Basin Water Storage District and the Dudley-Ridge Water District, totaling 3,444 acre-feet of SWP entitlement annually, subject to SWP allocations. These contracts extend through 2035 and have been transferred to AVEK for the Company's use in the Antelope Valley. In 2013, the Company acquired a contract to purchase water that obligates the Company to purchase 6,693 acre-feet of water each year from the Nickel Family, LLC, or Nickel, a California limited liability company that is located in Kern County.</w:t>
      </w:r>
    </w:p>
    <w:p>
      <w:pPr>
        <w:spacing w:after="0" w:line="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initial term of the water purchase agreement with Nickel runs to 2044 and includes a Company option to extend the contract for an additional 35 years. The purchase cost of water in 2024 is $957 per acre-foot. The purchase cost is subject to annual cost increases based on the greater of the Consumer Price Index or 3%.</w:t>
      </w:r>
    </w:p>
    <w:p>
      <w:pPr>
        <w:spacing w:after="0" w:line="41" w:lineRule="exact"/>
        <w:rPr>
          <w:sz w:val="20"/>
          <w:szCs w:val="20"/>
          <w:color w:val="auto"/>
        </w:rPr>
      </w:pPr>
    </w:p>
    <w:p>
      <w:pPr>
        <w:ind w:right="260"/>
        <w:spacing w:after="0" w:line="242" w:lineRule="auto"/>
        <w:rPr>
          <w:sz w:val="20"/>
          <w:szCs w:val="20"/>
          <w:color w:val="auto"/>
        </w:rPr>
      </w:pPr>
      <w:r>
        <w:rPr>
          <w:rFonts w:ascii="Times New Roman" w:cs="Times New Roman" w:eastAsia="Times New Roman" w:hAnsi="Times New Roman"/>
          <w:sz w:val="18"/>
          <w:szCs w:val="18"/>
          <w:color w:val="auto"/>
        </w:rPr>
        <w:t>The water purchased above will ultimately be used in the development of the Company’s land for commercial/industrial real estate development, resort/residential real estate development, and farming. Interim uses may include the sale of portions of this water to third-party users on an annual basis until this water is fully allocated to Company uses, as just described.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Water revenues and cost of sales were as follows for the three months ended ($ in thousands):</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3"/>
        </w:trPr>
        <w:tc>
          <w:tcPr>
            <w:tcW w:w="4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March 31, 2024</w:t>
            </w:r>
          </w:p>
        </w:tc>
        <w:tc>
          <w:tcPr>
            <w:tcW w:w="5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March 31, 2023</w:t>
            </w: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Acre-Feet Sold</w:t>
            </w:r>
          </w:p>
        </w:tc>
        <w:tc>
          <w:tcPr>
            <w:tcW w:w="17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3,050</w:t>
            </w:r>
          </w:p>
        </w:tc>
        <w:tc>
          <w:tcPr>
            <w:tcW w:w="0" w:type="dxa"/>
            <w:vAlign w:val="bottom"/>
          </w:tcPr>
          <w:p>
            <w:pPr>
              <w:spacing w:after="0"/>
              <w:rPr>
                <w:sz w:val="1"/>
                <w:szCs w:val="1"/>
                <w:color w:val="auto"/>
              </w:rPr>
            </w:pPr>
          </w:p>
        </w:tc>
      </w:tr>
      <w:tr>
        <w:trPr>
          <w:trHeight w:val="90"/>
        </w:trPr>
        <w:tc>
          <w:tcPr>
            <w:tcW w:w="40" w:type="dxa"/>
            <w:vAlign w:val="bottom"/>
          </w:tcPr>
          <w:p>
            <w:pPr>
              <w:spacing w:after="0"/>
              <w:rPr>
                <w:sz w:val="7"/>
                <w:szCs w:val="7"/>
                <w:color w:val="auto"/>
              </w:rPr>
            </w:pPr>
          </w:p>
        </w:tc>
        <w:tc>
          <w:tcPr>
            <w:tcW w:w="6460" w:type="dxa"/>
            <w:vAlign w:val="bottom"/>
          </w:tcPr>
          <w:p>
            <w:pPr>
              <w:spacing w:after="0"/>
              <w:rPr>
                <w:sz w:val="7"/>
                <w:szCs w:val="7"/>
                <w:color w:val="auto"/>
              </w:rPr>
            </w:pPr>
          </w:p>
        </w:tc>
        <w:tc>
          <w:tcPr>
            <w:tcW w:w="17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720" w:type="dxa"/>
            <w:vAlign w:val="bottom"/>
            <w:shd w:val="clear" w:color="auto" w:fill="CCEEFF"/>
          </w:tcPr>
          <w:p>
            <w:pPr>
              <w:jc w:val="right"/>
              <w:ind w:right="15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5,099</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7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2,976</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6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Profit</w:t>
            </w:r>
          </w:p>
        </w:tc>
        <w:tc>
          <w:tcPr>
            <w:tcW w:w="1720" w:type="dxa"/>
            <w:vAlign w:val="bottom"/>
            <w:tcBorders>
              <w:bottom w:val="single" w:sz="8" w:color="auto"/>
            </w:tcBorders>
            <w:shd w:val="clear" w:color="auto" w:fill="CCEEFF"/>
          </w:tcPr>
          <w:p>
            <w:pPr>
              <w:jc w:val="right"/>
              <w:ind w:right="15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460" w:type="dxa"/>
            <w:vAlign w:val="bottom"/>
            <w:shd w:val="clear" w:color="auto" w:fill="CCEEFF"/>
          </w:tcPr>
          <w:p>
            <w:pPr>
              <w:spacing w:after="0" w:line="20" w:lineRule="exact"/>
              <w:rPr>
                <w:sz w:val="1"/>
                <w:szCs w:val="1"/>
                <w:color w:val="auto"/>
              </w:rPr>
            </w:pPr>
          </w:p>
        </w:tc>
        <w:tc>
          <w:tcPr>
            <w:tcW w:w="172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5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Costs assigned to water assets held for future use were as follows ($ in thousands):</w:t>
            </w:r>
          </w:p>
        </w:tc>
        <w:tc>
          <w:tcPr>
            <w:tcW w:w="17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9"/>
        </w:trPr>
        <w:tc>
          <w:tcPr>
            <w:tcW w:w="6500" w:type="dxa"/>
            <w:vAlign w:val="bottom"/>
            <w:gridSpan w:val="2"/>
            <w:vMerge w:val="continue"/>
          </w:tcPr>
          <w:p>
            <w:pPr>
              <w:spacing w:after="0"/>
              <w:rPr>
                <w:sz w:val="24"/>
                <w:szCs w:val="24"/>
                <w:color w:val="auto"/>
              </w:rPr>
            </w:pPr>
          </w:p>
        </w:tc>
        <w:tc>
          <w:tcPr>
            <w:tcW w:w="1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40" w:type="dxa"/>
            <w:vAlign w:val="bottom"/>
          </w:tcPr>
          <w:p>
            <w:pPr>
              <w:spacing w:after="0"/>
              <w:rPr>
                <w:sz w:val="24"/>
                <w:szCs w:val="24"/>
                <w:color w:val="auto"/>
              </w:rPr>
            </w:pPr>
          </w:p>
        </w:tc>
        <w:tc>
          <w:tcPr>
            <w:tcW w:w="6460" w:type="dxa"/>
            <w:vAlign w:val="bottom"/>
            <w:tcBorders>
              <w:bottom w:val="single" w:sz="8" w:color="CCEEFF"/>
            </w:tcBorders>
          </w:tcPr>
          <w:p>
            <w:pPr>
              <w:spacing w:after="0"/>
              <w:rPr>
                <w:sz w:val="24"/>
                <w:szCs w:val="24"/>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March 31, 2024</w:t>
            </w: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December 31, 2023</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Banked water and water for future delivery</w:t>
            </w:r>
          </w:p>
        </w:tc>
        <w:tc>
          <w:tcPr>
            <w:tcW w:w="1720" w:type="dxa"/>
            <w:vAlign w:val="bottom"/>
            <w:shd w:val="clear" w:color="auto" w:fill="CCEEFF"/>
          </w:tcPr>
          <w:p>
            <w:pPr>
              <w:jc w:val="right"/>
              <w:ind w:right="15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31,002</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Transferable water</w:t>
            </w:r>
          </w:p>
        </w:tc>
        <w:tc>
          <w:tcPr>
            <w:tcW w:w="17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64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water held for future use at cost</w:t>
            </w:r>
          </w:p>
        </w:tc>
        <w:tc>
          <w:tcPr>
            <w:tcW w:w="1720" w:type="dxa"/>
            <w:vAlign w:val="bottom"/>
            <w:tcBorders>
              <w:bottom w:val="single" w:sz="8" w:color="auto"/>
            </w:tcBorders>
            <w:shd w:val="clear" w:color="auto" w:fill="CCEEFF"/>
          </w:tcPr>
          <w:p>
            <w:pPr>
              <w:jc w:val="right"/>
              <w:ind w:right="15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37,992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31,758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46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Water Assets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carrying amounts of its purchased water contracts were as follows ($ in thousands):</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300" w:type="dxa"/>
            <w:vAlign w:val="bottom"/>
            <w:gridSpan w:val="5"/>
          </w:tcPr>
          <w:p>
            <w:pPr>
              <w:ind w:left="860"/>
              <w:spacing w:after="0"/>
              <w:rPr>
                <w:sz w:val="20"/>
                <w:szCs w:val="20"/>
                <w:color w:val="auto"/>
              </w:rPr>
            </w:pPr>
            <w:r>
              <w:rPr>
                <w:rFonts w:ascii="Times New Roman" w:cs="Times New Roman" w:eastAsia="Times New Roman" w:hAnsi="Times New Roman"/>
                <w:sz w:val="18"/>
                <w:szCs w:val="18"/>
                <w:color w:val="auto"/>
              </w:rPr>
              <w:t>March 31, 2024</w:t>
            </w:r>
          </w:p>
        </w:tc>
        <w:tc>
          <w:tcPr>
            <w:tcW w:w="360" w:type="dxa"/>
            <w:vAlign w:val="bottom"/>
          </w:tcPr>
          <w:p>
            <w:pPr>
              <w:spacing w:after="0"/>
              <w:rPr>
                <w:sz w:val="20"/>
                <w:szCs w:val="20"/>
                <w:color w:val="auto"/>
              </w:rPr>
            </w:pPr>
          </w:p>
        </w:tc>
        <w:tc>
          <w:tcPr>
            <w:tcW w:w="3020" w:type="dxa"/>
            <w:vAlign w:val="bottom"/>
            <w:gridSpan w:val="4"/>
          </w:tcPr>
          <w:p>
            <w:pPr>
              <w:jc w:val="right"/>
              <w:ind w:right="890"/>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169"/>
        </w:trPr>
        <w:tc>
          <w:tcPr>
            <w:tcW w:w="42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660" w:type="dxa"/>
            <w:vAlign w:val="bottom"/>
            <w:tcBorders>
              <w:top w:val="single" w:sz="8" w:color="auto"/>
            </w:tcBorders>
          </w:tcPr>
          <w:p>
            <w:pPr>
              <w:ind w:left="200"/>
              <w:spacing w:after="0" w:line="169" w:lineRule="exact"/>
              <w:rPr>
                <w:sz w:val="20"/>
                <w:szCs w:val="20"/>
                <w:color w:val="auto"/>
              </w:rPr>
            </w:pPr>
            <w:r>
              <w:rPr>
                <w:rFonts w:ascii="Times New Roman" w:cs="Times New Roman" w:eastAsia="Times New Roman" w:hAnsi="Times New Roman"/>
                <w:sz w:val="18"/>
                <w:szCs w:val="18"/>
                <w:color w:val="auto"/>
              </w:rPr>
              <w:t>Accumulated</w:t>
            </w:r>
          </w:p>
        </w:tc>
        <w:tc>
          <w:tcPr>
            <w:tcW w:w="12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jc w:val="right"/>
              <w:ind w:right="270"/>
              <w:spacing w:after="0" w:line="169" w:lineRule="exact"/>
              <w:rPr>
                <w:sz w:val="20"/>
                <w:szCs w:val="20"/>
                <w:color w:val="auto"/>
              </w:rPr>
            </w:pPr>
            <w:r>
              <w:rPr>
                <w:rFonts w:ascii="Times New Roman" w:cs="Times New Roman" w:eastAsia="Times New Roman" w:hAnsi="Times New Roman"/>
                <w:sz w:val="18"/>
                <w:szCs w:val="18"/>
                <w:color w:val="auto"/>
              </w:rPr>
              <w:t>Accumulated</w:t>
            </w:r>
          </w:p>
        </w:tc>
      </w:tr>
      <w:tr>
        <w:trPr>
          <w:trHeight w:val="243"/>
        </w:trPr>
        <w:tc>
          <w:tcPr>
            <w:tcW w:w="4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Costs</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Depreciation</w:t>
            </w:r>
          </w:p>
        </w:tc>
        <w:tc>
          <w:tcPr>
            <w:tcW w:w="360" w:type="dxa"/>
            <w:vAlign w:val="bottom"/>
          </w:tcPr>
          <w:p>
            <w:pPr>
              <w:spacing w:after="0"/>
              <w:rPr>
                <w:sz w:val="21"/>
                <w:szCs w:val="21"/>
                <w:color w:val="auto"/>
              </w:rPr>
            </w:pPr>
          </w:p>
        </w:tc>
        <w:tc>
          <w:tcPr>
            <w:tcW w:w="126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Costs</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Depreciation</w:t>
            </w:r>
          </w:p>
        </w:tc>
      </w:tr>
      <w:tr>
        <w:trPr>
          <w:trHeight w:val="223"/>
        </w:trPr>
        <w:tc>
          <w:tcPr>
            <w:tcW w:w="4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Dudley-Ridge water rights</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11,581</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(6,393)</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(6,272)</w:t>
            </w:r>
          </w:p>
        </w:tc>
      </w:tr>
      <w:tr>
        <w:trPr>
          <w:trHeight w:val="230"/>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Nickel water rights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18,740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(6,532)</w:t>
            </w:r>
          </w:p>
        </w:tc>
      </w:tr>
      <w:tr>
        <w:trPr>
          <w:trHeight w:val="230"/>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Tulare Lake Basin water rights</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(3,624)</w:t>
            </w:r>
          </w:p>
        </w:tc>
      </w:tr>
      <w:tr>
        <w:trPr>
          <w:trHeight w:val="223"/>
        </w:trPr>
        <w:tc>
          <w:tcPr>
            <w:tcW w:w="42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36,800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(16,769)</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36,800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(16,428)</w:t>
            </w:r>
          </w:p>
        </w:tc>
      </w:tr>
      <w:tr>
        <w:trPr>
          <w:trHeight w:val="223"/>
        </w:trPr>
        <w:tc>
          <w:tcPr>
            <w:tcW w:w="4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cost of purchased water contracts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20,031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0"/>
        </w:trPr>
        <w:tc>
          <w:tcPr>
            <w:tcW w:w="42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Total cost of water held for future use</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37,992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31,758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r>
      <w:tr>
        <w:trPr>
          <w:trHeight w:val="248"/>
        </w:trPr>
        <w:tc>
          <w:tcPr>
            <w:tcW w:w="4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investments in water assets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58,023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2" w:right="339" w:bottom="1440" w:gutter="0" w:footer="0" w:header="0"/>
        </w:sectPr>
      </w:pPr>
    </w:p>
    <w:bookmarkStart w:id="14" w:name="page15"/>
    <w:bookmarkEnd w:id="14"/>
    <w:p>
      <w:pPr>
        <w:ind w:right="60"/>
        <w:spacing w:after="0" w:line="245" w:lineRule="auto"/>
        <w:rPr>
          <w:sz w:val="20"/>
          <w:szCs w:val="20"/>
          <w:color w:val="auto"/>
        </w:rPr>
      </w:pPr>
      <w:r>
        <w:rPr>
          <w:rFonts w:ascii="Times New Roman" w:cs="Times New Roman" w:eastAsia="Times New Roman" w:hAnsi="Times New Roman"/>
          <w:sz w:val="18"/>
          <w:szCs w:val="18"/>
          <w:color w:val="auto"/>
        </w:rPr>
        <w:t>Water contracts with the Wheeler Ridge Maricopa Water Storage District, or WRMWSD, and the Tejon-Castac Water District, or TCWD, are also in place, but were entered into with each district at inception of the contract and not purchased later from third parties, and do not have a related financial value on the books of the Company. Therefore, there is no amortization expense related to these contracts. Total water resources, including both recurring and one-time usage are: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acre-feet, unaudited)</w:t>
            </w:r>
          </w:p>
        </w:tc>
        <w:tc>
          <w:tcPr>
            <w:tcW w:w="26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March 31, 2024</w:t>
            </w:r>
          </w:p>
        </w:tc>
        <w:tc>
          <w:tcPr>
            <w:tcW w:w="24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09"/>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Water held for future use</w:t>
            </w:r>
          </w:p>
        </w:tc>
        <w:tc>
          <w:tcPr>
            <w:tcW w:w="2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tcBorders>
              <w:top w:val="single" w:sz="8" w:color="auto"/>
            </w:tcBorders>
          </w:tcPr>
          <w:p>
            <w:pPr>
              <w:spacing w:after="0"/>
              <w:rPr>
                <w:sz w:val="18"/>
                <w:szCs w:val="18"/>
                <w:color w:val="auto"/>
              </w:rPr>
            </w:pPr>
          </w:p>
        </w:tc>
      </w:tr>
      <w:tr>
        <w:trPr>
          <w:trHeight w:val="229"/>
        </w:trPr>
        <w:tc>
          <w:tcPr>
            <w:tcW w:w="6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TCWD - Banked water owned by the Company</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65,644</w:t>
            </w:r>
          </w:p>
        </w:tc>
        <w:tc>
          <w:tcPr>
            <w:tcW w:w="100" w:type="dxa"/>
            <w:vAlign w:val="bottom"/>
            <w:shd w:val="clear" w:color="auto" w:fill="CCEEFF"/>
          </w:tcPr>
          <w:p>
            <w:pPr>
              <w:spacing w:after="0"/>
              <w:rPr>
                <w:sz w:val="19"/>
                <w:szCs w:val="19"/>
                <w:color w:val="auto"/>
              </w:rPr>
            </w:pP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65,005</w:t>
            </w:r>
          </w:p>
        </w:tc>
      </w:tr>
      <w:tr>
        <w:trPr>
          <w:trHeight w:val="230"/>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Company water bank</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54,728</w:t>
            </w:r>
          </w:p>
        </w:tc>
        <w:tc>
          <w:tcPr>
            <w:tcW w:w="100" w:type="dxa"/>
            <w:vAlign w:val="bottom"/>
          </w:tcPr>
          <w:p>
            <w:pPr>
              <w:spacing w:after="0"/>
              <w:rPr>
                <w:sz w:val="19"/>
                <w:szCs w:val="19"/>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54,728</w:t>
            </w:r>
          </w:p>
        </w:tc>
      </w:tr>
      <w:tr>
        <w:trPr>
          <w:trHeight w:val="229"/>
        </w:trPr>
        <w:tc>
          <w:tcPr>
            <w:tcW w:w="6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Transferable water</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7,143</w:t>
            </w:r>
          </w:p>
        </w:tc>
        <w:tc>
          <w:tcPr>
            <w:tcW w:w="100" w:type="dxa"/>
            <w:vAlign w:val="bottom"/>
            <w:shd w:val="clear" w:color="auto" w:fill="CCEEFF"/>
          </w:tcPr>
          <w:p>
            <w:pPr>
              <w:spacing w:after="0"/>
              <w:rPr>
                <w:sz w:val="19"/>
                <w:szCs w:val="19"/>
                <w:color w:val="auto"/>
              </w:rPr>
            </w:pP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9"/>
        </w:trPr>
        <w:tc>
          <w:tcPr>
            <w:tcW w:w="6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Recharged project water</w:t>
            </w:r>
          </w:p>
        </w:tc>
        <w:tc>
          <w:tcPr>
            <w:tcW w:w="2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6,590</w:t>
            </w:r>
          </w:p>
        </w:tc>
        <w:tc>
          <w:tcPr>
            <w:tcW w:w="100" w:type="dxa"/>
            <w:vAlign w:val="bottom"/>
            <w:tcBorders>
              <w:bottom w:val="single" w:sz="8" w:color="CCEEFF"/>
            </w:tcBorders>
          </w:tcPr>
          <w:p>
            <w:pPr>
              <w:spacing w:after="0"/>
              <w:rPr>
                <w:sz w:val="19"/>
                <w:szCs w:val="19"/>
                <w:color w:val="auto"/>
              </w:rPr>
            </w:pPr>
          </w:p>
        </w:tc>
        <w:tc>
          <w:tcPr>
            <w:tcW w:w="2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6,590</w:t>
            </w:r>
          </w:p>
        </w:tc>
      </w:tr>
      <w:tr>
        <w:trPr>
          <w:trHeight w:val="223"/>
        </w:trPr>
        <w:tc>
          <w:tcPr>
            <w:tcW w:w="6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water held for future use</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134,105</w:t>
            </w:r>
          </w:p>
        </w:tc>
        <w:tc>
          <w:tcPr>
            <w:tcW w:w="100" w:type="dxa"/>
            <w:vAlign w:val="bottom"/>
            <w:shd w:val="clear" w:color="auto" w:fill="CCEEFF"/>
          </w:tcPr>
          <w:p>
            <w:pPr>
              <w:spacing w:after="0"/>
              <w:rPr>
                <w:sz w:val="19"/>
                <w:szCs w:val="19"/>
                <w:color w:val="auto"/>
              </w:rPr>
            </w:pP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127,323</w:t>
            </w:r>
          </w:p>
        </w:tc>
      </w:tr>
      <w:tr>
        <w:trPr>
          <w:trHeight w:val="229"/>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Purchased water contracts</w:t>
            </w:r>
          </w:p>
        </w:tc>
        <w:tc>
          <w:tcPr>
            <w:tcW w:w="2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20" w:type="dxa"/>
            <w:vAlign w:val="bottom"/>
          </w:tcPr>
          <w:p>
            <w:pPr>
              <w:spacing w:after="0"/>
              <w:rPr>
                <w:sz w:val="19"/>
                <w:szCs w:val="19"/>
                <w:color w:val="auto"/>
              </w:rPr>
            </w:pPr>
          </w:p>
        </w:tc>
      </w:tr>
      <w:tr>
        <w:trPr>
          <w:trHeight w:val="230"/>
        </w:trPr>
        <w:tc>
          <w:tcPr>
            <w:tcW w:w="6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Water Contracts (Dudley-Ridge, Nickel and Tulare)</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10,137</w:t>
            </w:r>
          </w:p>
        </w:tc>
        <w:tc>
          <w:tcPr>
            <w:tcW w:w="100" w:type="dxa"/>
            <w:vAlign w:val="bottom"/>
            <w:shd w:val="clear" w:color="auto" w:fill="CCEEFF"/>
          </w:tcPr>
          <w:p>
            <w:pPr>
              <w:spacing w:after="0"/>
              <w:rPr>
                <w:sz w:val="19"/>
                <w:szCs w:val="19"/>
                <w:color w:val="auto"/>
              </w:rPr>
            </w:pP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10,137</w:t>
            </w:r>
          </w:p>
        </w:tc>
      </w:tr>
      <w:tr>
        <w:trPr>
          <w:trHeight w:val="229"/>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WRMWSD - Contracts with the Company</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15,547</w:t>
            </w:r>
          </w:p>
        </w:tc>
        <w:tc>
          <w:tcPr>
            <w:tcW w:w="100" w:type="dxa"/>
            <w:vAlign w:val="bottom"/>
          </w:tcPr>
          <w:p>
            <w:pPr>
              <w:spacing w:after="0"/>
              <w:rPr>
                <w:sz w:val="19"/>
                <w:szCs w:val="19"/>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15,547</w:t>
            </w:r>
          </w:p>
        </w:tc>
      </w:tr>
      <w:tr>
        <w:trPr>
          <w:trHeight w:val="229"/>
        </w:trPr>
        <w:tc>
          <w:tcPr>
            <w:tcW w:w="6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TCWD - Contracts with the Company</w:t>
            </w:r>
          </w:p>
        </w:tc>
        <w:tc>
          <w:tcPr>
            <w:tcW w:w="2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5,749</w:t>
            </w:r>
          </w:p>
        </w:tc>
        <w:tc>
          <w:tcPr>
            <w:tcW w:w="100" w:type="dxa"/>
            <w:vAlign w:val="bottom"/>
            <w:shd w:val="clear" w:color="auto" w:fill="CCEEFF"/>
          </w:tcPr>
          <w:p>
            <w:pPr>
              <w:spacing w:after="0"/>
              <w:rPr>
                <w:sz w:val="19"/>
                <w:szCs w:val="19"/>
                <w:color w:val="auto"/>
              </w:rPr>
            </w:pPr>
          </w:p>
        </w:tc>
        <w:tc>
          <w:tcPr>
            <w:tcW w:w="2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5,749</w:t>
            </w:r>
          </w:p>
        </w:tc>
      </w:tr>
      <w:tr>
        <w:trPr>
          <w:trHeight w:val="223"/>
        </w:trPr>
        <w:tc>
          <w:tcPr>
            <w:tcW w:w="62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purchased water contracts</w:t>
            </w:r>
          </w:p>
        </w:tc>
        <w:tc>
          <w:tcPr>
            <w:tcW w:w="2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31,433</w:t>
            </w:r>
          </w:p>
        </w:tc>
        <w:tc>
          <w:tcPr>
            <w:tcW w:w="100" w:type="dxa"/>
            <w:vAlign w:val="bottom"/>
            <w:tcBorders>
              <w:bottom w:val="single" w:sz="8" w:color="CCEEFF"/>
            </w:tcBorders>
          </w:tcPr>
          <w:p>
            <w:pPr>
              <w:spacing w:after="0"/>
              <w:rPr>
                <w:sz w:val="19"/>
                <w:szCs w:val="19"/>
                <w:color w:val="auto"/>
              </w:rPr>
            </w:pPr>
          </w:p>
        </w:tc>
        <w:tc>
          <w:tcPr>
            <w:tcW w:w="2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31,433</w:t>
            </w:r>
          </w:p>
        </w:tc>
      </w:tr>
      <w:tr>
        <w:trPr>
          <w:trHeight w:val="248"/>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water held for future use and purchased water contracts</w:t>
            </w:r>
          </w:p>
        </w:tc>
        <w:tc>
          <w:tcPr>
            <w:tcW w:w="2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165,538</w:t>
            </w:r>
          </w:p>
        </w:tc>
        <w:tc>
          <w:tcPr>
            <w:tcW w:w="100" w:type="dxa"/>
            <w:vAlign w:val="bottom"/>
            <w:tcBorders>
              <w:bottom w:val="single" w:sz="8" w:color="CCEEFF"/>
            </w:tcBorders>
            <w:shd w:val="clear" w:color="auto" w:fill="CCEEFF"/>
          </w:tcPr>
          <w:p>
            <w:pPr>
              <w:spacing w:after="0"/>
              <w:rPr>
                <w:sz w:val="21"/>
                <w:szCs w:val="21"/>
                <w:color w:val="auto"/>
              </w:rPr>
            </w:pPr>
          </w:p>
        </w:tc>
        <w:tc>
          <w:tcPr>
            <w:tcW w:w="2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158,756</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Tejon Ranchcorp, or Ranchcorp, a wholly-owned subsidiary of Tejon Ranch Co., entered into a Water Supply Agreement with PEF in 2015. PEF is the current lessee under the power plant lease. Pursuant to the Water Supply Agreement, PEF may purchase from Ranchcorp up to 3,500 acre-feet of water per year from January 1, 2017 through July 31, 2030, with an option to extend the term by three additional five-year periods. PEF is under no obligation to purchase water from Ranchcorp in any year, but is required to pay Ranchcorp an annual option payment equal to 30% of the maximum annual payment. The price of the water under the Water Supply Agreement for 2024 is $1,298 per acre-foot of annual water, subject to 3% annual increases over the life of the contract. The Water Supply Agreement contains other customary terms and conditions, including representations and warranties which are typical for agreements of this type. The Company's commitments to sell water can be met through current water assets.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6.   ACCRUED LIABILITIES AND OTHER</w:t>
            </w:r>
          </w:p>
        </w:tc>
        <w:tc>
          <w:tcPr>
            <w:tcW w:w="3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40" w:type="dxa"/>
            <w:vAlign w:val="bottom"/>
          </w:tcPr>
          <w:p>
            <w:pPr>
              <w:spacing w:after="0"/>
              <w:rPr>
                <w:sz w:val="20"/>
                <w:szCs w:val="20"/>
                <w:color w:val="auto"/>
              </w:rPr>
            </w:pPr>
          </w:p>
        </w:tc>
      </w:tr>
      <w:tr>
        <w:trPr>
          <w:trHeight w:val="324"/>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liabilities and other consisted of the following:</w:t>
            </w:r>
          </w:p>
        </w:tc>
        <w:tc>
          <w:tcPr>
            <w:tcW w:w="3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338"/>
        </w:trPr>
        <w:tc>
          <w:tcPr>
            <w:tcW w:w="40" w:type="dxa"/>
            <w:vAlign w:val="bottom"/>
          </w:tcPr>
          <w:p>
            <w:pPr>
              <w:spacing w:after="0"/>
              <w:rPr>
                <w:sz w:val="24"/>
                <w:szCs w:val="24"/>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 in thousands)</w:t>
            </w:r>
          </w:p>
        </w:tc>
        <w:tc>
          <w:tcPr>
            <w:tcW w:w="340" w:type="dxa"/>
            <w:vAlign w:val="bottom"/>
          </w:tcPr>
          <w:p>
            <w:pPr>
              <w:spacing w:after="0"/>
              <w:rPr>
                <w:sz w:val="24"/>
                <w:szCs w:val="24"/>
                <w:color w:val="auto"/>
              </w:rPr>
            </w:pPr>
          </w:p>
        </w:tc>
        <w:tc>
          <w:tcPr>
            <w:tcW w:w="20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March 31, 2024</w:t>
            </w:r>
          </w:p>
        </w:tc>
        <w:tc>
          <w:tcPr>
            <w:tcW w:w="260" w:type="dxa"/>
            <w:vAlign w:val="bottom"/>
          </w:tcPr>
          <w:p>
            <w:pPr>
              <w:spacing w:after="0"/>
              <w:rPr>
                <w:sz w:val="24"/>
                <w:szCs w:val="24"/>
                <w:color w:val="auto"/>
              </w:rPr>
            </w:pPr>
          </w:p>
        </w:tc>
        <w:tc>
          <w:tcPr>
            <w:tcW w:w="20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23"/>
        </w:trPr>
        <w:tc>
          <w:tcPr>
            <w:tcW w:w="40" w:type="dxa"/>
            <w:vAlign w:val="bottom"/>
          </w:tcPr>
          <w:p>
            <w:pPr>
              <w:spacing w:after="0"/>
              <w:rPr>
                <w:sz w:val="19"/>
                <w:szCs w:val="19"/>
                <w:color w:val="auto"/>
              </w:rPr>
            </w:pPr>
          </w:p>
        </w:tc>
        <w:tc>
          <w:tcPr>
            <w:tcW w:w="6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vacation</w:t>
            </w: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r>
      <w:tr>
        <w:trPr>
          <w:trHeight w:val="230"/>
        </w:trPr>
        <w:tc>
          <w:tcPr>
            <w:tcW w:w="40" w:type="dxa"/>
            <w:vAlign w:val="bottom"/>
          </w:tcPr>
          <w:p>
            <w:pPr>
              <w:spacing w:after="0"/>
              <w:rPr>
                <w:sz w:val="19"/>
                <w:szCs w:val="19"/>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Accrued paid personal leave</w:t>
            </w:r>
          </w:p>
        </w:tc>
        <w:tc>
          <w:tcPr>
            <w:tcW w:w="3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r>
      <w:tr>
        <w:trPr>
          <w:trHeight w:val="229"/>
        </w:trPr>
        <w:tc>
          <w:tcPr>
            <w:tcW w:w="40" w:type="dxa"/>
            <w:vAlign w:val="bottom"/>
          </w:tcPr>
          <w:p>
            <w:pPr>
              <w:spacing w:after="0"/>
              <w:rPr>
                <w:sz w:val="19"/>
                <w:szCs w:val="19"/>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bonus</w:t>
            </w:r>
          </w:p>
        </w:tc>
        <w:tc>
          <w:tcPr>
            <w:tcW w:w="3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w:t>
            </w:r>
          </w:p>
        </w:tc>
      </w:tr>
      <w:tr>
        <w:trPr>
          <w:trHeight w:val="230"/>
        </w:trPr>
        <w:tc>
          <w:tcPr>
            <w:tcW w:w="40" w:type="dxa"/>
            <w:vAlign w:val="bottom"/>
          </w:tcPr>
          <w:p>
            <w:pPr>
              <w:spacing w:after="0"/>
              <w:rPr>
                <w:sz w:val="19"/>
                <w:szCs w:val="19"/>
                <w:color w:val="auto"/>
              </w:rPr>
            </w:pPr>
          </w:p>
        </w:tc>
        <w:tc>
          <w:tcPr>
            <w:tcW w:w="646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Property tax payable</w:t>
            </w:r>
            <w:r>
              <w:rPr>
                <w:rFonts w:ascii="Times New Roman" w:cs="Times New Roman" w:eastAsia="Times New Roman" w:hAnsi="Times New Roman"/>
                <w:sz w:val="23"/>
                <w:szCs w:val="23"/>
                <w:color w:val="auto"/>
                <w:vertAlign w:val="superscript"/>
              </w:rPr>
              <w:t>1</w:t>
            </w:r>
          </w:p>
        </w:tc>
        <w:tc>
          <w:tcPr>
            <w:tcW w:w="3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0" w:type="dxa"/>
            <w:vAlign w:val="bottom"/>
          </w:tcPr>
          <w:p>
            <w:pPr>
              <w:spacing w:after="0"/>
              <w:rPr>
                <w:sz w:val="19"/>
                <w:szCs w:val="19"/>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r>
      <w:tr>
        <w:trPr>
          <w:trHeight w:val="223"/>
        </w:trPr>
        <w:tc>
          <w:tcPr>
            <w:tcW w:w="40" w:type="dxa"/>
            <w:vAlign w:val="bottom"/>
          </w:tcPr>
          <w:p>
            <w:pPr>
              <w:spacing w:after="0"/>
              <w:rPr>
                <w:sz w:val="19"/>
                <w:szCs w:val="19"/>
                <w:color w:val="auto"/>
              </w:rPr>
            </w:pPr>
          </w:p>
        </w:tc>
        <w:tc>
          <w:tcPr>
            <w:tcW w:w="646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3,186</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3,214</w:t>
            </w:r>
          </w:p>
        </w:tc>
      </w:tr>
      <w:tr>
        <w:trPr>
          <w:trHeight w:val="20"/>
        </w:trPr>
        <w:tc>
          <w:tcPr>
            <w:tcW w:w="4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bl>
    <w:p>
      <w:pPr>
        <w:spacing w:after="0" w:line="33" w:lineRule="exact"/>
        <w:rPr>
          <w:sz w:val="20"/>
          <w:szCs w:val="20"/>
          <w:color w:val="auto"/>
        </w:rPr>
      </w:pPr>
    </w:p>
    <w:p>
      <w:pPr>
        <w:ind w:left="140" w:hanging="94"/>
        <w:spacing w:after="0"/>
        <w:tabs>
          <w:tab w:leader="none" w:pos="140"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California property taxes are accrued throughout the year and are paid every April and December.</w:t>
      </w:r>
    </w:p>
    <w:p>
      <w:pPr>
        <w:spacing w:after="0" w:line="234" w:lineRule="exact"/>
        <w:rPr>
          <w:sz w:val="20"/>
          <w:szCs w:val="20"/>
          <w:color w:val="auto"/>
        </w:rPr>
      </w:pPr>
    </w:p>
    <w:p>
      <w:pPr>
        <w:ind w:right="7240" w:firstLine="8"/>
        <w:spacing w:after="0" w:line="378" w:lineRule="auto"/>
        <w:tabs>
          <w:tab w:leader="none" w:pos="3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LINE OF CREDIT AND LONG-TERM DEBT </w:t>
      </w:r>
      <w:r>
        <w:rPr>
          <w:rFonts w:ascii="Times New Roman" w:cs="Times New Roman" w:eastAsia="Times New Roman" w:hAnsi="Times New Roman"/>
          <w:sz w:val="18"/>
          <w:szCs w:val="18"/>
          <w:color w:val="auto"/>
        </w:rPr>
        <w:t>Debt consisted of the following:</w:t>
      </w:r>
    </w:p>
    <w:tbl>
      <w:tblPr>
        <w:tblLayout w:type="fixed"/>
        <w:tblInd w:w="40" w:type="dxa"/>
        <w:tblCellMar>
          <w:top w:w="0" w:type="dxa"/>
          <w:left w:w="0" w:type="dxa"/>
          <w:bottom w:w="0" w:type="dxa"/>
          <w:right w:w="0" w:type="dxa"/>
        </w:tblCellMar>
      </w:tblPr>
      <w:tr>
        <w:trPr>
          <w:trHeight w:val="234"/>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 in thousands)</w:t>
            </w:r>
          </w:p>
        </w:tc>
        <w:tc>
          <w:tcPr>
            <w:tcW w:w="340" w:type="dxa"/>
            <w:vAlign w:val="bottom"/>
          </w:tcPr>
          <w:p>
            <w:pPr>
              <w:spacing w:after="0"/>
              <w:rPr>
                <w:sz w:val="20"/>
                <w:szCs w:val="20"/>
                <w:color w:val="auto"/>
              </w:rPr>
            </w:pPr>
          </w:p>
        </w:tc>
        <w:tc>
          <w:tcPr>
            <w:tcW w:w="20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March 31, 2024</w:t>
            </w:r>
          </w:p>
        </w:tc>
        <w:tc>
          <w:tcPr>
            <w:tcW w:w="280" w:type="dxa"/>
            <w:vAlign w:val="bottom"/>
          </w:tcPr>
          <w:p>
            <w:pPr>
              <w:spacing w:after="0"/>
              <w:rPr>
                <w:sz w:val="20"/>
                <w:szCs w:val="20"/>
                <w:color w:val="auto"/>
              </w:rPr>
            </w:pPr>
          </w:p>
        </w:tc>
        <w:tc>
          <w:tcPr>
            <w:tcW w:w="20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23"/>
        </w:trPr>
        <w:tc>
          <w:tcPr>
            <w:tcW w:w="6440" w:type="dxa"/>
            <w:vAlign w:val="bottom"/>
            <w:tcBorders>
              <w:top w:val="single" w:sz="8" w:color="CCEEFF"/>
            </w:tcBorders>
            <w:shd w:val="clear" w:color="auto" w:fill="CCEEFF"/>
          </w:tcPr>
          <w:p>
            <w:pPr>
              <w:spacing w:after="0" w:line="223" w:lineRule="exact"/>
              <w:rPr>
                <w:sz w:val="20"/>
                <w:szCs w:val="20"/>
                <w:color w:val="auto"/>
              </w:rPr>
            </w:pPr>
            <w:r>
              <w:rPr>
                <w:rFonts w:ascii="Times New Roman" w:cs="Times New Roman" w:eastAsia="Times New Roman" w:hAnsi="Times New Roman"/>
                <w:sz w:val="18"/>
                <w:szCs w:val="18"/>
                <w:color w:val="auto"/>
              </w:rPr>
              <w:t>Revolving line-of-credit</w:t>
            </w:r>
            <w:r>
              <w:rPr>
                <w:rFonts w:ascii="Times New Roman" w:cs="Times New Roman" w:eastAsia="Times New Roman" w:hAnsi="Times New Roman"/>
                <w:sz w:val="23"/>
                <w:szCs w:val="23"/>
                <w:color w:val="auto"/>
                <w:vertAlign w:val="superscript"/>
              </w:rPr>
              <w:t>1</w:t>
            </w: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47,942</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47,942</w:t>
            </w:r>
          </w:p>
        </w:tc>
      </w:tr>
    </w:tbl>
    <w:p>
      <w:pPr>
        <w:spacing w:after="0" w:line="32" w:lineRule="exact"/>
        <w:rPr>
          <w:sz w:val="20"/>
          <w:szCs w:val="20"/>
          <w:color w:val="auto"/>
        </w:rPr>
      </w:pPr>
    </w:p>
    <w:p>
      <w:pPr>
        <w:ind w:left="40" w:right="460"/>
        <w:spacing w:after="0" w:line="210" w:lineRule="auto"/>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6"/>
          <w:szCs w:val="16"/>
          <w:color w:val="auto"/>
        </w:rPr>
        <w:t xml:space="preserve">The deferred loan costs for revolving line-of-credit as of March 31, 2024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6"/>
          <w:szCs w:val="16"/>
          <w:color w:val="auto"/>
        </w:rPr>
        <w:t xml:space="preserve"> December 31, 2023 were recorded under the caption Other Assets on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 w:name="page16"/>
    <w:bookmarkEnd w:id="15"/>
    <w:p>
      <w:pPr>
        <w:ind w:right="100"/>
        <w:spacing w:after="0" w:line="245" w:lineRule="auto"/>
        <w:rPr>
          <w:sz w:val="20"/>
          <w:szCs w:val="20"/>
          <w:color w:val="auto"/>
        </w:rPr>
      </w:pPr>
      <w:r>
        <w:rPr>
          <w:rFonts w:ascii="Times New Roman" w:cs="Times New Roman" w:eastAsia="Times New Roman" w:hAnsi="Times New Roman"/>
          <w:sz w:val="18"/>
          <w:szCs w:val="18"/>
          <w:color w:val="auto"/>
        </w:rPr>
        <w:t>On November 17, 2023, the Company entered into a Credit Agreement with AgWest Farm Credit, PCA and certain other lenders. The Revolving Credit Facility provides TRC an RCL in the amount of $160,000,000. The RCL requires interest only payments and has a maturity date of January 1, 2029. As of March 31, 2024, the outstanding balance under the RCL was $47,942,000, and the interest rate was one-month term SOFR plus a margin of 2.25% for an effective rate of 7.58% at March 31, 2024.</w:t>
      </w:r>
    </w:p>
    <w:p>
      <w:pPr>
        <w:spacing w:after="0" w:line="14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Funds from the RCL were used to pay off and close out the existing Bank of America, N.A. Term Note and Revolving Line of Credit Note. The amount of this pay off was $47,078,564 plus accrued interest and fees on the Bank of America Term Note. The Company evaluated the debt exchange under ASC Topic 470 and determined that the exchange should be treated as a debt extinguishment.</w:t>
      </w:r>
    </w:p>
    <w:p>
      <w:pPr>
        <w:spacing w:after="0" w:line="361" w:lineRule="exact"/>
        <w:rPr>
          <w:sz w:val="20"/>
          <w:szCs w:val="20"/>
          <w:color w:val="auto"/>
        </w:rPr>
      </w:pPr>
    </w:p>
    <w:p>
      <w:pPr>
        <w:ind w:left="360" w:hanging="352"/>
        <w:spacing w:after="0"/>
        <w:tabs>
          <w:tab w:leader="none" w:pos="3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LIABILITIES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liabilities consisted of the following:</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 in thousands)</w:t>
            </w:r>
          </w:p>
        </w:tc>
        <w:tc>
          <w:tcPr>
            <w:tcW w:w="340" w:type="dxa"/>
            <w:vAlign w:val="bottom"/>
          </w:tcPr>
          <w:p>
            <w:pPr>
              <w:spacing w:after="0"/>
              <w:rPr>
                <w:sz w:val="20"/>
                <w:szCs w:val="20"/>
                <w:color w:val="auto"/>
              </w:rPr>
            </w:pPr>
          </w:p>
        </w:tc>
        <w:tc>
          <w:tcPr>
            <w:tcW w:w="20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March 31, 2024</w:t>
            </w:r>
          </w:p>
        </w:tc>
        <w:tc>
          <w:tcPr>
            <w:tcW w:w="260" w:type="dxa"/>
            <w:vAlign w:val="bottom"/>
          </w:tcPr>
          <w:p>
            <w:pPr>
              <w:spacing w:after="0"/>
              <w:rPr>
                <w:sz w:val="20"/>
                <w:szCs w:val="20"/>
                <w:color w:val="auto"/>
              </w:rPr>
            </w:pPr>
          </w:p>
        </w:tc>
        <w:tc>
          <w:tcPr>
            <w:tcW w:w="20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23"/>
        </w:trPr>
        <w:tc>
          <w:tcPr>
            <w:tcW w:w="6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executive retirement plan liability (See Note 12)</w:t>
            </w: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6,082</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6,124</w:t>
            </w:r>
          </w:p>
        </w:tc>
      </w:tr>
      <w:tr>
        <w:trPr>
          <w:trHeight w:val="229"/>
        </w:trPr>
        <w:tc>
          <w:tcPr>
            <w:tcW w:w="6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Excess joint venture distributions and other (See Note 14)</w:t>
            </w:r>
          </w:p>
        </w:tc>
        <w:tc>
          <w:tcPr>
            <w:tcW w:w="3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9,083</w:t>
            </w:r>
          </w:p>
        </w:tc>
      </w:tr>
      <w:tr>
        <w:trPr>
          <w:trHeight w:val="248"/>
        </w:trPr>
        <w:tc>
          <w:tcPr>
            <w:tcW w:w="64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15,207</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ind w:left="360" w:hanging="352"/>
        <w:spacing w:after="0"/>
        <w:tabs>
          <w:tab w:leader="none" w:pos="3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 COMPENSATION - RESTRICTED STOCK AND PERFORMANCE SHARE GRANTS</w:t>
      </w:r>
    </w:p>
    <w:p>
      <w:pPr>
        <w:spacing w:after="0" w:line="108"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 xml:space="preserve">The Company’s stock incentive plans provide for the making of awards to employees based upon a service condition or through the achievement of performance-related objectives. The Company has issued three types of stock grant awards under these plans: restricted stock with service condition vesting; performance share grants that only vest upon the achievement of specified performance conditions, such as corporate cash flow goals or share price, or Performance Condition Grants; and performance share grants that include threshold, target, and maximum achievement levels based on the achievement of specific performance measures, or Performance Milestone Grants. Performance Condition Grants with market-based conditions are based on the achievement of a target share price. The share price used to calculate the grant date fair value for market-based awards is determined using a </w:t>
      </w:r>
      <w:r>
        <w:rPr>
          <w:rFonts w:ascii="Times New Roman" w:cs="Times New Roman" w:eastAsia="Times New Roman" w:hAnsi="Times New Roman"/>
          <w:sz w:val="18"/>
          <w:szCs w:val="18"/>
          <w:i w:val="1"/>
          <w:iCs w:val="1"/>
          <w:color w:val="auto"/>
        </w:rPr>
        <w:t>Monte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Carlo </w:t>
      </w:r>
      <w:r>
        <w:rPr>
          <w:rFonts w:ascii="Times New Roman" w:cs="Times New Roman" w:eastAsia="Times New Roman" w:hAnsi="Times New Roman"/>
          <w:sz w:val="18"/>
          <w:szCs w:val="18"/>
          <w:color w:val="auto"/>
        </w:rPr>
        <w:t>simulation. Failure to achieve the target share price will result in the forfeiture of shares. Forfeiture of share awards with service conditions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performance-based restrictions will result in a reversal of previously recognized share-based compensation expense. Forfeiture of share awards with market-based restrictions does not result in a reversal of previously recognized share-based compensation expense.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Company’s Performance Condition Grants outstanding as of March 31, 2024:</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100" w:type="dxa"/>
            <w:vAlign w:val="bottom"/>
            <w:tcBorders>
              <w:bottom w:val="single" w:sz="8" w:color="auto"/>
            </w:tcBorders>
          </w:tcPr>
          <w:p>
            <w:pPr>
              <w:spacing w:after="0"/>
              <w:rPr>
                <w:sz w:val="20"/>
                <w:szCs w:val="20"/>
                <w:color w:val="auto"/>
              </w:rPr>
            </w:pPr>
          </w:p>
        </w:tc>
        <w:tc>
          <w:tcPr>
            <w:tcW w:w="8080" w:type="dxa"/>
            <w:vAlign w:val="bottom"/>
            <w:tcBorders>
              <w:bottom w:val="single" w:sz="8" w:color="auto"/>
            </w:tcBorders>
          </w:tcPr>
          <w:p>
            <w:pPr>
              <w:jc w:val="right"/>
              <w:ind w:right="4410"/>
              <w:spacing w:after="0"/>
              <w:rPr>
                <w:sz w:val="20"/>
                <w:szCs w:val="20"/>
                <w:color w:val="auto"/>
              </w:rPr>
            </w:pPr>
            <w:r>
              <w:rPr>
                <w:rFonts w:ascii="Times New Roman" w:cs="Times New Roman" w:eastAsia="Times New Roman" w:hAnsi="Times New Roman"/>
                <w:sz w:val="18"/>
                <w:szCs w:val="18"/>
                <w:color w:val="auto"/>
              </w:rPr>
              <w:t>Performance Condition Grants</w:t>
            </w:r>
          </w:p>
        </w:tc>
      </w:tr>
      <w:tr>
        <w:trPr>
          <w:trHeight w:val="223"/>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Target performance</w:t>
            </w:r>
          </w:p>
        </w:tc>
        <w:tc>
          <w:tcPr>
            <w:tcW w:w="8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429,418</w:t>
            </w:r>
          </w:p>
        </w:tc>
      </w:tr>
      <w:tr>
        <w:trPr>
          <w:trHeight w:val="234"/>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Maximum performance</w:t>
            </w:r>
          </w:p>
        </w:tc>
        <w:tc>
          <w:tcPr>
            <w:tcW w:w="8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543,023</w:t>
            </w:r>
          </w:p>
        </w:tc>
      </w:tr>
    </w:tbl>
    <w:p>
      <w:pPr>
        <w:spacing w:after="0" w:line="13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Company’s stock grant activity, both time and performance unit grants, assuming target achievement for outstanding performance grants for the three months ended March 31, 2024:</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23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March 31, 2024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grants outstanding beginning of period at target achievement</w:t>
            </w:r>
          </w:p>
        </w:tc>
        <w:tc>
          <w:tcPr>
            <w:tcW w:w="3420" w:type="dxa"/>
            <w:vAlign w:val="bottom"/>
            <w:tcBorders>
              <w:top w:val="single" w:sz="8" w:color="CCEEFF"/>
            </w:tcBorders>
            <w:shd w:val="clear" w:color="auto" w:fill="CCEEFF"/>
          </w:tcPr>
          <w:p>
            <w:pPr>
              <w:spacing w:after="0"/>
              <w:rPr>
                <w:sz w:val="19"/>
                <w:szCs w:val="19"/>
                <w:color w:val="auto"/>
              </w:rPr>
            </w:pPr>
          </w:p>
        </w:tc>
        <w:tc>
          <w:tcPr>
            <w:tcW w:w="2360" w:type="dxa"/>
            <w:vAlign w:val="bottom"/>
            <w:tcBorders>
              <w:top w:val="single" w:sz="8" w:color="auto"/>
            </w:tcBorders>
            <w:shd w:val="clear" w:color="auto" w:fill="CCEEFF"/>
          </w:tcPr>
          <w:p>
            <w:pPr>
              <w:ind w:left="1700"/>
              <w:spacing w:after="0"/>
              <w:rPr>
                <w:sz w:val="20"/>
                <w:szCs w:val="20"/>
                <w:color w:val="auto"/>
              </w:rPr>
            </w:pPr>
            <w:r>
              <w:rPr>
                <w:rFonts w:ascii="Times New Roman" w:cs="Times New Roman" w:eastAsia="Times New Roman" w:hAnsi="Times New Roman"/>
                <w:sz w:val="18"/>
                <w:szCs w:val="18"/>
                <w:color w:val="auto"/>
              </w:rPr>
              <w:t>248,768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stock grants/additional shares due to achievement in excess of target</w:t>
            </w:r>
          </w:p>
        </w:tc>
        <w:tc>
          <w:tcPr>
            <w:tcW w:w="5780" w:type="dxa"/>
            <w:vAlign w:val="bottom"/>
            <w:gridSpan w:val="2"/>
          </w:tcPr>
          <w:p>
            <w:pPr>
              <w:ind w:left="5120"/>
              <w:spacing w:after="0"/>
              <w:rPr>
                <w:sz w:val="20"/>
                <w:szCs w:val="20"/>
                <w:color w:val="auto"/>
              </w:rPr>
            </w:pPr>
            <w:r>
              <w:rPr>
                <w:rFonts w:ascii="Times New Roman" w:cs="Times New Roman" w:eastAsia="Times New Roman" w:hAnsi="Times New Roman"/>
                <w:sz w:val="18"/>
                <w:szCs w:val="18"/>
                <w:color w:val="auto"/>
              </w:rPr>
              <w:t>386,956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grants</w:t>
            </w:r>
          </w:p>
        </w:tc>
        <w:tc>
          <w:tcPr>
            <w:tcW w:w="5780" w:type="dxa"/>
            <w:vAlign w:val="bottom"/>
            <w:gridSpan w:val="2"/>
            <w:shd w:val="clear" w:color="auto" w:fill="CCEEFF"/>
          </w:tcPr>
          <w:p>
            <w:pPr>
              <w:ind w:left="5140"/>
              <w:spacing w:after="0"/>
              <w:rPr>
                <w:sz w:val="20"/>
                <w:szCs w:val="20"/>
                <w:color w:val="auto"/>
              </w:rPr>
            </w:pPr>
            <w:r>
              <w:rPr>
                <w:rFonts w:ascii="Times New Roman" w:cs="Times New Roman" w:eastAsia="Times New Roman" w:hAnsi="Times New Roman"/>
                <w:sz w:val="18"/>
                <w:szCs w:val="18"/>
                <w:color w:val="auto"/>
              </w:rPr>
              <w:t>(22,025)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Expired/forfeited grants</w:t>
            </w:r>
          </w:p>
        </w:tc>
        <w:tc>
          <w:tcPr>
            <w:tcW w:w="5780" w:type="dxa"/>
            <w:vAlign w:val="bottom"/>
            <w:gridSpan w:val="2"/>
          </w:tcPr>
          <w:p>
            <w:pPr>
              <w:ind w:left="5140"/>
              <w:spacing w:after="0"/>
              <w:rPr>
                <w:sz w:val="20"/>
                <w:szCs w:val="20"/>
                <w:color w:val="auto"/>
              </w:rPr>
            </w:pPr>
            <w:r>
              <w:rPr>
                <w:rFonts w:ascii="Times New Roman" w:cs="Times New Roman" w:eastAsia="Times New Roman" w:hAnsi="Times New Roman"/>
                <w:sz w:val="18"/>
                <w:szCs w:val="18"/>
                <w:color w:val="auto"/>
              </w:rPr>
              <w:t>(10,905)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5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grants outstanding end of period at target achievement</w:t>
            </w:r>
          </w:p>
        </w:tc>
        <w:tc>
          <w:tcPr>
            <w:tcW w:w="3420" w:type="dxa"/>
            <w:vAlign w:val="bottom"/>
            <w:tcBorders>
              <w:top w:val="single" w:sz="8" w:color="CCEEFF"/>
              <w:bottom w:val="single" w:sz="8" w:color="CCEEFF"/>
            </w:tcBorders>
            <w:shd w:val="clear" w:color="auto" w:fill="CCEEFF"/>
          </w:tcPr>
          <w:p>
            <w:pPr>
              <w:spacing w:after="0"/>
              <w:rPr>
                <w:sz w:val="21"/>
                <w:szCs w:val="21"/>
                <w:color w:val="auto"/>
              </w:rPr>
            </w:pPr>
          </w:p>
        </w:tc>
        <w:tc>
          <w:tcPr>
            <w:tcW w:w="2360" w:type="dxa"/>
            <w:vAlign w:val="bottom"/>
            <w:tcBorders>
              <w:top w:val="single" w:sz="8" w:color="auto"/>
              <w:bottom w:val="single" w:sz="8" w:color="auto"/>
            </w:tcBorders>
            <w:shd w:val="clear" w:color="auto" w:fill="CCEEFF"/>
          </w:tcPr>
          <w:p>
            <w:pPr>
              <w:ind w:left="1700"/>
              <w:spacing w:after="0"/>
              <w:rPr>
                <w:sz w:val="20"/>
                <w:szCs w:val="20"/>
                <w:color w:val="auto"/>
              </w:rPr>
            </w:pPr>
            <w:r>
              <w:rPr>
                <w:rFonts w:ascii="Times New Roman" w:cs="Times New Roman" w:eastAsia="Times New Roman" w:hAnsi="Times New Roman"/>
                <w:sz w:val="18"/>
                <w:szCs w:val="18"/>
                <w:color w:val="auto"/>
              </w:rPr>
              <w:t>602,794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Borders>
              <w:top w:val="single" w:sz="8" w:color="CCEEFF"/>
            </w:tcBorders>
          </w:tcPr>
          <w:p>
            <w:pPr>
              <w:spacing w:after="0" w:line="20" w:lineRule="exact"/>
              <w:rPr>
                <w:sz w:val="1"/>
                <w:szCs w:val="1"/>
                <w:color w:val="auto"/>
              </w:rPr>
            </w:pPr>
          </w:p>
        </w:tc>
        <w:tc>
          <w:tcPr>
            <w:tcW w:w="3420" w:type="dxa"/>
            <w:vAlign w:val="bottom"/>
            <w:tcBorders>
              <w:top w:val="single" w:sz="8" w:color="CCEEFF"/>
              <w:bottom w:val="single" w:sz="8" w:color="CCEEFF"/>
            </w:tcBorders>
            <w:vMerge w:val="restart"/>
          </w:tcPr>
          <w:p>
            <w:pPr>
              <w:jc w:val="right"/>
              <w:ind w:right="3050"/>
              <w:spacing w:after="0"/>
              <w:rPr>
                <w:sz w:val="20"/>
                <w:szCs w:val="20"/>
                <w:color w:val="auto"/>
              </w:rPr>
            </w:pPr>
            <w:r>
              <w:rPr>
                <w:rFonts w:ascii="Times New Roman" w:cs="Times New Roman" w:eastAsia="Times New Roman" w:hAnsi="Times New Roman"/>
                <w:sz w:val="18"/>
                <w:szCs w:val="18"/>
                <w:color w:val="auto"/>
              </w:rPr>
              <w:t>16</w:t>
            </w:r>
          </w:p>
        </w:tc>
        <w:tc>
          <w:tcPr>
            <w:tcW w:w="23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4"/>
        </w:trPr>
        <w:tc>
          <w:tcPr>
            <w:tcW w:w="2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3420" w:type="dxa"/>
            <w:vAlign w:val="bottom"/>
            <w:vMerge w:val="continue"/>
          </w:tcPr>
          <w:p>
            <w:pPr>
              <w:spacing w:after="0"/>
              <w:rPr>
                <w:sz w:val="24"/>
                <w:szCs w:val="24"/>
                <w:color w:val="auto"/>
              </w:rPr>
            </w:pPr>
          </w:p>
        </w:tc>
        <w:tc>
          <w:tcPr>
            <w:tcW w:w="2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420" w:type="dxa"/>
            <w:vAlign w:val="bottom"/>
            <w:tcBorders>
              <w:bottom w:val="single" w:sz="8" w:color="9A9A9A"/>
            </w:tcBorders>
          </w:tcPr>
          <w:p>
            <w:pPr>
              <w:spacing w:after="0"/>
              <w:rPr>
                <w:sz w:val="10"/>
                <w:szCs w:val="10"/>
                <w:color w:val="auto"/>
              </w:rPr>
            </w:pPr>
          </w:p>
        </w:tc>
        <w:tc>
          <w:tcPr>
            <w:tcW w:w="3420" w:type="dxa"/>
            <w:vAlign w:val="bottom"/>
            <w:tcBorders>
              <w:bottom w:val="single" w:sz="8" w:color="9A9A9A"/>
            </w:tcBorders>
          </w:tcPr>
          <w:p>
            <w:pPr>
              <w:spacing w:after="0"/>
              <w:rPr>
                <w:sz w:val="10"/>
                <w:szCs w:val="10"/>
                <w:color w:val="auto"/>
              </w:rPr>
            </w:pPr>
          </w:p>
        </w:tc>
        <w:tc>
          <w:tcPr>
            <w:tcW w:w="23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6" w:name="page17"/>
    <w:bookmarkEnd w:id="16"/>
    <w:p>
      <w:pPr>
        <w:ind w:right="480"/>
        <w:spacing w:after="0" w:line="266" w:lineRule="auto"/>
        <w:rPr>
          <w:sz w:val="20"/>
          <w:szCs w:val="20"/>
          <w:color w:val="auto"/>
        </w:rPr>
      </w:pPr>
      <w:r>
        <w:rPr>
          <w:rFonts w:ascii="Times New Roman" w:cs="Times New Roman" w:eastAsia="Times New Roman" w:hAnsi="Times New Roman"/>
          <w:sz w:val="18"/>
          <w:szCs w:val="18"/>
          <w:color w:val="auto"/>
        </w:rPr>
        <w:t>The following is a summary of the assumptions used to determine the fair value for the Company’s outstanding market-based Performance Condition Grants as of March 31, 2024:</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thousands except for share prices)</w:t>
            </w: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2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 date</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12/16/2021</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03/17/2022</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12/14/2022</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06/16/2023</w:t>
            </w:r>
          </w:p>
        </w:tc>
      </w:tr>
      <w:tr>
        <w:trPr>
          <w:trHeight w:val="230"/>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Vesting end</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12/16/2024</w:t>
            </w:r>
          </w:p>
        </w:tc>
        <w:tc>
          <w:tcPr>
            <w:tcW w:w="10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03/17/2025</w:t>
            </w:r>
          </w:p>
        </w:tc>
        <w:tc>
          <w:tcPr>
            <w:tcW w:w="10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12/14/2025</w:t>
            </w:r>
          </w:p>
        </w:tc>
        <w:tc>
          <w:tcPr>
            <w:tcW w:w="10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12/31/2025</w:t>
            </w:r>
          </w:p>
        </w:tc>
      </w:tr>
      <w:tr>
        <w:trPr>
          <w:trHeight w:val="22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Target share price to achieve award</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$21.58</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$20.43</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$21.99</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$20.72</w:t>
            </w:r>
          </w:p>
        </w:tc>
      </w:tr>
      <w:tr>
        <w:trPr>
          <w:trHeight w:val="270"/>
        </w:trPr>
        <w:tc>
          <w:tcPr>
            <w:tcW w:w="55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2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31.29%</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31.54%</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32.14%</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26.58%</w:t>
            </w:r>
          </w:p>
        </w:tc>
      </w:tr>
      <w:tr>
        <w:trPr>
          <w:trHeight w:val="230"/>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0.92%</w:t>
            </w:r>
          </w:p>
        </w:tc>
        <w:tc>
          <w:tcPr>
            <w:tcW w:w="10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4.38%</w:t>
            </w:r>
          </w:p>
        </w:tc>
      </w:tr>
      <w:tr>
        <w:trPr>
          <w:trHeight w:val="270"/>
        </w:trPr>
        <w:tc>
          <w:tcPr>
            <w:tcW w:w="55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29"/>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Simulated Monte Carlo share price</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$21.48</w:t>
            </w:r>
          </w:p>
        </w:tc>
        <w:tc>
          <w:tcPr>
            <w:tcW w:w="10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$21.75</w:t>
            </w:r>
          </w:p>
        </w:tc>
        <w:tc>
          <w:tcPr>
            <w:tcW w:w="10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$26.00</w:t>
            </w:r>
          </w:p>
        </w:tc>
        <w:tc>
          <w:tcPr>
            <w:tcW w:w="10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$20.24</w:t>
            </w:r>
          </w:p>
        </w:tc>
      </w:tr>
      <w:tr>
        <w:trPr>
          <w:trHeight w:val="23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granted</w:t>
            </w:r>
          </w:p>
        </w:tc>
        <w:tc>
          <w:tcPr>
            <w:tcW w:w="13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3,536</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13,338</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4,613</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9,515</w:t>
            </w:r>
          </w:p>
        </w:tc>
      </w:tr>
      <w:tr>
        <w:trPr>
          <w:trHeight w:val="228"/>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fair value of award</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$290</w:t>
            </w:r>
          </w:p>
        </w:tc>
        <w:tc>
          <w:tcPr>
            <w:tcW w:w="10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$120</w:t>
            </w:r>
          </w:p>
        </w:tc>
        <w:tc>
          <w:tcPr>
            <w:tcW w:w="10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$193</w:t>
            </w:r>
          </w:p>
        </w:tc>
      </w:tr>
      <w:tr>
        <w:trPr>
          <w:trHeight w:val="589"/>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thousands except for share prices)</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2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 date</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08/21/2023</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12/16/2023</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03/13/2024</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03/13/2024</w:t>
            </w:r>
          </w:p>
        </w:tc>
      </w:tr>
      <w:tr>
        <w:trPr>
          <w:trHeight w:val="230"/>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Vesting end</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12/31/2025</w:t>
            </w:r>
          </w:p>
        </w:tc>
        <w:tc>
          <w:tcPr>
            <w:tcW w:w="10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12/31/2026</w:t>
            </w:r>
          </w:p>
        </w:tc>
        <w:tc>
          <w:tcPr>
            <w:tcW w:w="10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12/31/2024</w:t>
            </w:r>
          </w:p>
        </w:tc>
        <w:tc>
          <w:tcPr>
            <w:tcW w:w="10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03/22/2027</w:t>
            </w:r>
          </w:p>
        </w:tc>
      </w:tr>
      <w:tr>
        <w:trPr>
          <w:trHeight w:val="22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 price at target achievement</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$19.20</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$19.65</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$17.58</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$18.93</w:t>
            </w:r>
          </w:p>
        </w:tc>
      </w:tr>
      <w:tr>
        <w:trPr>
          <w:trHeight w:val="270"/>
        </w:trPr>
        <w:tc>
          <w:tcPr>
            <w:tcW w:w="55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2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25.55%</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25.91%</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24.39%</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25.56%</w:t>
            </w:r>
          </w:p>
        </w:tc>
      </w:tr>
      <w:tr>
        <w:trPr>
          <w:trHeight w:val="230"/>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4.74%</w:t>
            </w:r>
          </w:p>
        </w:tc>
        <w:tc>
          <w:tcPr>
            <w:tcW w:w="10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4.02%</w:t>
            </w:r>
          </w:p>
        </w:tc>
        <w:tc>
          <w:tcPr>
            <w:tcW w:w="10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4.31%</w:t>
            </w:r>
          </w:p>
        </w:tc>
      </w:tr>
      <w:tr>
        <w:trPr>
          <w:trHeight w:val="270"/>
        </w:trPr>
        <w:tc>
          <w:tcPr>
            <w:tcW w:w="55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29"/>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Simulated Monte Carlo share price</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$17.88</w:t>
            </w:r>
          </w:p>
        </w:tc>
        <w:tc>
          <w:tcPr>
            <w:tcW w:w="10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$19.74</w:t>
            </w:r>
          </w:p>
        </w:tc>
        <w:tc>
          <w:tcPr>
            <w:tcW w:w="10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$12.63</w:t>
            </w:r>
          </w:p>
        </w:tc>
        <w:tc>
          <w:tcPr>
            <w:tcW w:w="10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$18.36</w:t>
            </w:r>
          </w:p>
        </w:tc>
      </w:tr>
      <w:tr>
        <w:trPr>
          <w:trHeight w:val="23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granted</w:t>
            </w:r>
          </w:p>
        </w:tc>
        <w:tc>
          <w:tcPr>
            <w:tcW w:w="13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1,650</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4,828</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18,626</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15,225</w:t>
            </w:r>
          </w:p>
        </w:tc>
      </w:tr>
      <w:tr>
        <w:trPr>
          <w:trHeight w:val="228"/>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fair value of award</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$235</w:t>
            </w:r>
          </w:p>
        </w:tc>
        <w:tc>
          <w:tcPr>
            <w:tcW w:w="10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$280</w:t>
            </w:r>
          </w:p>
        </w:tc>
      </w:tr>
    </w:tbl>
    <w:p>
      <w:pPr>
        <w:spacing w:after="0" w:line="287"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18"/>
          <w:szCs w:val="18"/>
          <w:color w:val="auto"/>
        </w:rPr>
        <w:t>The unamortized cost associated with unvested stock grants and the weighted average period over which it is expected to be recognized as of March 31, 2024 were $7,650,000 and 16 months, respectively. The fair value of restricted stock with time-based vesting features is based upon the Company’s share price on the date of grant and is expensed over the service period. Fair value of performance grants that cliff vest based on the achievement of performance conditions is based on the share price of the Company’s stock on the day of grant and is expensed over the performance period if it is probable that the award will vest. This fair value is expensed over the service period applicable to these grants. For performance grants that contain a range of shares from zero to maximum, the Company determines, based on historic and projected results, the probability of (1) achieving the performance objective, and (2) the level of achievement. Based on this information, the Company determines the number of awards probable of vesting and expenses the grant date fair value of such awards over the service period related to these grants. Because the ultimate vesting of all performance grants is tied to the achievement of a performance condition, the Company estimates whether the performance condition will be met and over what period of time. Ultimately, the Company adjusts compensation cost according to the actual outcome of the performance condition.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Cash-Settled Awards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Time-Based Cash-Settled Awards</w:t>
      </w:r>
    </w:p>
    <w:p>
      <w:pPr>
        <w:spacing w:after="0" w:line="239"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18"/>
          <w:szCs w:val="18"/>
          <w:color w:val="auto"/>
        </w:rPr>
        <w:t>On March 13, 2024, the Company granted 75,117 time-based cash-settled awards to the Chief Executive Officer that vest on December 31, 2024. These awards are classified as liabilities, measured at fair value on the date of grant, and remeasured at each reporting date, based on the Company’s share price. Compensation cost is amortized on a straight-line method over the remaining vesting period. As of March 31, 2024, $1.0 million of total unrecognized compensation cost is expected to be recognized on outstanding cash-settled awards over the remaining vesting period based on fair value as of March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auto"/>
        </w:rPr>
        <w:t>Performance-Based Cash-Settled Awards</w:t>
      </w:r>
    </w:p>
    <w:p>
      <w:pPr>
        <w:spacing w:after="0" w:line="90"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18"/>
          <w:szCs w:val="18"/>
          <w:color w:val="auto"/>
        </w:rPr>
        <w:t>On March 13, 2024, the Company granted 14,867 performance condition grants, with market-based conditions, that are cash-settled awards to the Chief Executive Officer. These awards are classified as liabilities, measured at fair value on the date of grant, and remeasured at each reporting date based on a Monte Carlo model. Compensation cost is recognized in proportion to the completed requisite service period through December 31, 2024. The amount of awards earned ranges between 0% and 200% of the target amount depending upon performance achieved over the performance period commencing on the grant date and ending on the last day of the Company’s 2024 fiscal year, and settled in cash. The performance conditions of the award are achieved at a target share price of $17.58. A Monte Carlo valuation model was used to determine the fair value of the awards. As of March 31, 2024, $0.2 million of total unrecognized compensation cost is expected to be recognized on outstanding performance-based cash-settled awards over the remaining performance period based on the fair value as of March 31, 2024.</w:t>
      </w:r>
    </w:p>
    <w:p>
      <w:pPr>
        <w:spacing w:after="0" w:line="54"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18"/>
          <w:szCs w:val="18"/>
          <w:color w:val="auto"/>
        </w:rPr>
        <w:t>On March 13, 2024, the Company granted 120,188 performance milestone cash-settled awards to the Chief Executive Officer. These awards are classified as liabilities, measured at fair value on the date of grant, and remeasured at each reporting date, based on the Company’s share price. Compensation cost is recognized based on an estimate of those probable of achieving the performance objective at the associated level of achievement in proportion to the completed requisite service period through December 31, 2024. The amount of awards earned for each milestone is either 0% or 100% of the target amount depending upon performance achieved over performance period commencing on the grant date and ending on the last day of the Company’s 2024 fiscal year, and settled in cash. The performance conditions of the award is achieved based on established milestones. If such milestones are not met or become not probable of being met during the performance period, no compensation cost is recognized and any previously recognized compensation cost is reversed. As of March 31, 2024, $1.6 million of total unrecognized compensation cost is expected to be recognized on outstanding performance-based cash-settled awards over the remaining performance period based on the fair value and the estimated probability of achievement as of March 31, 2024.</w:t>
      </w:r>
    </w:p>
    <w:p>
      <w:pPr>
        <w:spacing w:after="0" w:line="134"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Under the Non-Employee Director Stock Incentive Plan, or NDSI Plan, each non-employee director, during the years presented, received his or her annual compensation in stock. The following table summarizes stock compensation costs for the Company's 1998 Stock Incentive Plan, or the Employee 1998 Plan, and NDSI Plan for the following periods:</w:t>
      </w:r>
    </w:p>
    <w:p>
      <w:pPr>
        <w:spacing w:after="0" w:line="25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480" w:type="dxa"/>
            <w:vAlign w:val="bottom"/>
            <w:tcBorders>
              <w:bottom w:val="single" w:sz="8" w:color="auto"/>
            </w:tcBorders>
          </w:tcPr>
          <w:p>
            <w:pPr>
              <w:spacing w:after="0"/>
              <w:rPr>
                <w:sz w:val="20"/>
                <w:szCs w:val="20"/>
                <w:color w:val="auto"/>
              </w:rPr>
            </w:pPr>
          </w:p>
        </w:tc>
        <w:tc>
          <w:tcPr>
            <w:tcW w:w="3680" w:type="dxa"/>
            <w:vAlign w:val="bottom"/>
            <w:tcBorders>
              <w:bottom w:val="single" w:sz="8" w:color="auto"/>
            </w:tcBorders>
            <w:gridSpan w:val="4"/>
          </w:tcPr>
          <w:p>
            <w:pPr>
              <w:jc w:val="right"/>
              <w:ind w:right="830"/>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223"/>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Employee 1998 Plan:</w:t>
            </w:r>
          </w:p>
        </w:tc>
        <w:tc>
          <w:tcPr>
            <w:tcW w:w="4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7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Expensed</w:t>
            </w: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r>
      <w:tr>
        <w:trPr>
          <w:trHeight w:val="230"/>
        </w:trPr>
        <w:tc>
          <w:tcPr>
            <w:tcW w:w="70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Capitalized</w:t>
            </w:r>
          </w:p>
        </w:tc>
        <w:tc>
          <w:tcPr>
            <w:tcW w:w="4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23"/>
        </w:trPr>
        <w:tc>
          <w:tcPr>
            <w:tcW w:w="70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w:t>
            </w:r>
          </w:p>
        </w:tc>
      </w:tr>
      <w:tr>
        <w:trPr>
          <w:trHeight w:val="230"/>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NDSI Plan</w:t>
            </w:r>
          </w:p>
        </w:tc>
        <w:tc>
          <w:tcPr>
            <w:tcW w:w="4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48"/>
        </w:trPr>
        <w:tc>
          <w:tcPr>
            <w:tcW w:w="7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 Compensation Costs</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460" w:hanging="452"/>
        <w:spacing w:after="0"/>
        <w:tabs>
          <w:tab w:leader="none" w:pos="4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94" w:lineRule="exact"/>
        <w:rPr>
          <w:sz w:val="20"/>
          <w:szCs w:val="20"/>
          <w:color w:val="auto"/>
        </w:rPr>
      </w:pPr>
    </w:p>
    <w:p>
      <w:pPr>
        <w:ind w:right="260"/>
        <w:spacing w:after="0" w:line="257" w:lineRule="auto"/>
        <w:rPr>
          <w:sz w:val="20"/>
          <w:szCs w:val="20"/>
          <w:color w:val="auto"/>
        </w:rPr>
      </w:pPr>
      <w:r>
        <w:rPr>
          <w:rFonts w:ascii="Times New Roman" w:cs="Times New Roman" w:eastAsia="Times New Roman" w:hAnsi="Times New Roman"/>
          <w:sz w:val="18"/>
          <w:szCs w:val="18"/>
          <w:color w:val="auto"/>
        </w:rPr>
        <w:t>The Company’s provision for income taxes as of March 31, 2024 has been calculated by applying an estimate of the annual effective tax rate for the full year to “ordinary” income or loss (pre-tax income or loss excluding unusual or infrequently occurring discrete items). For the three months ended March 31, 2024, the Company’s income tax benefit was $942,000 compared to income tax expense of $1,013,000 for the three months</w:t>
      </w:r>
    </w:p>
    <w:p>
      <w:pPr>
        <w:spacing w:after="0" w:line="1"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color w:val="auto"/>
        </w:rPr>
        <w:t>ended March 31, 2023. Effective tax rates were 51% and 36% for the three months ended March 31, 2024 and 2023, respectively. As of March 31, 2024, the Company had income taxes payable of $0. The Company classifies interest and penalties incurred on tax payments as income tax expense.</w:t>
      </w:r>
    </w:p>
    <w:p>
      <w:pPr>
        <w:spacing w:after="0" w:line="60"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2024, the Company’s effective tax rate was above statutory tax rates as a result of permanent differences related to Section 162(m) limitations. Section 162(m) compensation deduction limitations occurred as a result of changes in tax law arising from the 2017 Tax Cuts and Jobs Act.</w:t>
      </w:r>
    </w:p>
    <w:p>
      <w:pPr>
        <w:spacing w:after="0" w:line="118" w:lineRule="exact"/>
        <w:rPr>
          <w:sz w:val="20"/>
          <w:szCs w:val="20"/>
          <w:color w:val="auto"/>
        </w:rPr>
      </w:pPr>
    </w:p>
    <w:p>
      <w:pPr>
        <w:ind w:right="7320" w:firstLine="8"/>
        <w:spacing w:after="0" w:line="354" w:lineRule="auto"/>
        <w:tabs>
          <w:tab w:leader="none" w:pos="4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CONTINGENCIES </w:t>
      </w:r>
      <w:r>
        <w:rPr>
          <w:rFonts w:ascii="Times New Roman" w:cs="Times New Roman" w:eastAsia="Times New Roman" w:hAnsi="Times New Roman"/>
          <w:sz w:val="18"/>
          <w:szCs w:val="18"/>
          <w:i w:val="1"/>
          <w:iCs w:val="1"/>
          <w:color w:val="auto"/>
        </w:rPr>
        <w:t>Water Contracts</w:t>
      </w:r>
    </w:p>
    <w:p>
      <w:pPr>
        <w:spacing w:after="0" w:line="1"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The Company has secured water contracts that are encumbered by the Company's land. These water contracts require minimum annual payments, for which $13,107,000 is expected to be paid in 2024. For the first three months of 2024, the Company has paid $7,890,000 for this water. These estimated water contract payments consist of SWP contracts with WRMWSD, TCWD, Tulare Lake Basin, Dudley-Ridge, and the Nickel water contract. The SWP contracts run through 2035 and the Nickel water contract runs through 2044, with an option to extend an additional 35 years. Contractual obligations for future water payments were $280,096,000 as of March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i w:val="1"/>
          <w:iCs w:val="1"/>
          <w:color w:val="auto"/>
        </w:rPr>
        <w:t>Contracts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exited a consulting contract during the second quarter of 2014 related to the Grapevine Development, or Grapevine project, and is obligated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pay an earned incentive fee at the time of its successful receipt of litigated project entitlements and at a value measurement date five-years after litigated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entitlements have been achieved for Grapevine. The final amount of the incentive fee will not be determined until the future payment dates. As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2024, the Company believes the net savings resulting from exiting the contract during this future time period will more than offset the incentive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 costs.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Community Facilities Districts</w:t>
      </w:r>
    </w:p>
    <w:p>
      <w:pPr>
        <w:spacing w:after="0" w:line="10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TRPFFA is a joint powers authority formed by Kern County and TCWD to finance public infrastructure within the Company’s Kern County developments. For the development of TRCC, TRPFFA has created two CFDs: the West CFD and the East CFD. The West CFD has placed liens on 420 acres of the Company’s land to secure payment of special taxes related to $19,540,000 of outstanding bond debt sold by TRPFFA for TRCC-West. The East CFD has placed liens on 1,931 acres of the Company’s land to secure payments of special taxes related to $72,055,000 of outstanding bond debt sold by TRPFFA for TRCC-East. At TRCC-West, the West CFD has no additional bond debt approved for issuance. At TRCC-East, the East CFD has approximately $44,035,000 of additional bond debt authorized by TRPFFA that can be sold in the future.</w:t>
      </w:r>
    </w:p>
    <w:p>
      <w:pPr>
        <w:spacing w:after="0" w:line="5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connection with the sale of the bonds, there is a standby letter of credit for $3,358,000 related to the issuance of East CFD bonds. The standby letter of credit is in place to provide additional credit enhancement and cover approximately two years of interest on the outstanding bonds. This letter of credit will not be drawn upon unless the Company, as the largest landowner in the CFD, fails to make its property tax payments. The Company believes the letter of credit will never be drawn upon. The letter of credit is for two years and will be renewed in two-year intervals as necessary. The annual cost related to the letter of credit is approximately $67,000.</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landowner in each CFD, the Company is obligated to pay its share of the special taxes assessed each year. The secured lands include both the TRCC-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West and TRCC-East developments. Proceeds from the sale of West CFD bonds went to reimburse the Company for public infrastructure costs related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TRCC-West development. As of March 31, 2024, there were no additional improvement funds remaining from the West CFD bonds. There 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$6,454,063 of additional improvement funds remaining within the East CFD bonds for reimbursement of public infrastructure costs during future years.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fiscal 2024, the Company expects to pay approximately $2,803,000 in special taxes. As development continues to occur at TRCC, new owners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land and new lease tenants, through triple net leases, will bear an increasing portion of the assessed special tax. This amount could change in the future,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the amount of bonds outstanding and the amount of taxes paid by others. The assessment of each individual property sold or leased is not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determinable at this time, because it is based on the current tax rate and assessed value of the property at the time of sale or on its assessed value at the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is leased to a third-party. Accordingly, the Company was not required to recognize an obligation on March 31, 2024.</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Centennial</w:t>
      </w:r>
    </w:p>
    <w:p>
      <w:pPr>
        <w:spacing w:after="0" w:line="9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April 30, 2019, the Los Angeles County Board of Supervisors granted final entitlement approval for the Centennial project. On May 15, 2019, Climate Resolve filed an action in Los Angeles Superior Court (the Climate Resolve Action), pursuant to CEQA and the California Planning and Zoning Law, against the County of Los Angeles and the Los Angeles County Board of Supervisors (collectively, LA County) concerning LA County’s granting of approvals for the Centennial project, including certification of the final EIR and related findings (Centennial EIR); approval of associated general plan amendments; adoption of associated zoning; adoption of the Centennial Specific Plan; approval of a subdivision map for financing purposes; and adoption of a development agreement, among other approvals (collectively, the Centennial Approvals). Separately, on May 28, 2019, the CBD and the CNPS filed an action in Los Angeles County Superior Court (the CBD/CNPS Action) against LA County; like the Climate Resolve Action, the CBD/CNPS Action also challenges the Centennial Approvals. The Company, its wholly owned subsidiary Tejon Ranchcorp, and CFL are named as real parties-in-interest in both the Climate Resolve Action and the CBD/CNPS Action.</w:t>
      </w:r>
    </w:p>
    <w:p>
      <w:pPr>
        <w:spacing w:after="0" w:line="6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Climate Resolve Action and the CBD/CNPS Action collectively allege that LA County failed to properly follow the procedures and requirements of CEQA and the California Planning and Zoning Law. The Climate Resolve Action and the CBD/CNPS Action have been deemed “related” and, while not consolidated under court rules or the rules of civil procedure, the Los Angeles Superior Court judge (or Court) trying both cases determined during early trial management conferences to hold one set of hearings and issue one ruling on the matters as part of the adjudication. The Climate Resolve Action and CBD/CNPS Action seek to invalidate the Centennial Approvals and require LA County to revise the environmental documentation related to the Centennial project. The Court held three hearings for the CBD/CNPS Action and Climate Resolve Action on September 30, 2020, November 13, 2020, and January 8, 2021.</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19" w:name="page20"/>
    <w:bookmarkEnd w:id="19"/>
    <w:p>
      <w:pPr>
        <w:ind w:right="20"/>
        <w:spacing w:after="0" w:line="254" w:lineRule="auto"/>
        <w:rPr>
          <w:sz w:val="20"/>
          <w:szCs w:val="20"/>
          <w:color w:val="auto"/>
        </w:rPr>
      </w:pPr>
      <w:r>
        <w:rPr>
          <w:rFonts w:ascii="Times New Roman" w:cs="Times New Roman" w:eastAsia="Times New Roman" w:hAnsi="Times New Roman"/>
          <w:sz w:val="18"/>
          <w:szCs w:val="18"/>
          <w:color w:val="auto"/>
        </w:rPr>
        <w:t>On April 5, 2021, the Court issued its decision denying the petition for writ of mandate by CBD/CNPS and granting the petition for writ of mandate filed by Climate Resolve. In granting Climate Resolve’s petition, the Court found three specific areas where the EIR for the project was lacking. The Court ruled that California’s Cap-and-Trade Program cannot be used as a compliance pathway for mitigating GHG impacts for the project and therefore further ruled that additional analysis will be required related to all feasible mitigation of GHG impacts. The Court also found that the EIR must provide additional analysis and explanation of how wildland fire risk on lands outside of the project site, posed by on-site ignition sources, is mitigated to less than significant. On April 19, 2021, CBD filed a motion for reconsideration with the Court on the denial of their petition for writ of mandate to be granted prevailing party status in its case based on the Court's conclusions in the Climate Resolve Action (“Motion for Reconsideration”). The hearing on the Motion for Reconsideration originally scheduled for August 13, 2021 was rescheduled to December 1, 2021 and further rescheduled as noted below.</w:t>
      </w:r>
    </w:p>
    <w:p>
      <w:pPr>
        <w:spacing w:after="0" w:line="16"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On November 30, 2021, the Company, together with Ranchcorp and CFL, entered into a Settlement Agreement with Climate Resolve. Pursuant to the Settlement Agreement, the Company has agreed as stated and obligated in the Settlement Agreement: (1) to make Centennial a net zero GHG emissions project through various on-site and off-site measures including, but not limited to, installing electric vehicle chargers and establishing and funding incentive programs for the purchase of electric vehicles; (2) to fund certain on-site and off-site fire protection and prevention measures; and (3) to provide annual public reports and create an organization to monitor progress towards these commitments. The foregoing is only a summary of the material terms of the Settlement Agreement and does not purport to be a complete description of the rights and obligations of the parties thereunder and is qualified in its entirety by reference to the Settlement Agreement. In exchange, Climate Resolve filed a request for dismissal of the Climate Resolve Action with prejudice from the Court. On December 3, 2021, the Court granted and entered Climate Resolve’s dismissal with prejudice concluding the Climate Resolve Action. On December 1, 2021, the Court continued CBD/CNPS Motion for Reconsideration to January 14, 2022, directing CBD/CNPS to evaluate the Settlement Agreement reached in the Climate Resolve Action to address issues surrounding remedies should CBD be granted prevailing party status in its case based on the Court’s conclusions in the Climate Resolve Action, and to evaluate the potential to settle or otherwise address CBD’s objections to the Centennial project. To that end, the Company met and conferred twice on January 4, 2022 and January 20, 2022. On January 14, 2022, the Court heard CBD/CNPS' Motion for Reconsideration and issued its decision granting CBD/CNPS prevailing party status based on the Court’s conclusions in the Climate Resolve Action.</w:t>
      </w:r>
    </w:p>
    <w:p>
      <w:pPr>
        <w:spacing w:after="0" w:line="6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Court set a tentative hearing date of February 25, 2022 concerning the entry of final judgment and awarding of appropriate remedies, which was continued several times in 2022 either on the Court's own motion or at the request of the parties and was ultimately set for hearing on October 26, 2022. At the October 26th hearing, the Court agreed to: (a) hear the Company’s Motion for Reconsideration as to the successful challenges Climate Resolve prevailed upon within the Climate Resolve Action and ordered the Parties to appear on December 14, 2022 to hear the Company’s Motion for Reconsideration and (b) rule on the entry of final judgment and setting of remedies at a February 17, 2023 hearing date.</w:t>
      </w:r>
    </w:p>
    <w:p>
      <w:pPr>
        <w:spacing w:after="0" w:line="62"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At the December 14, 2022 hearing, the Court denied the Company’s Motion for Reconsideration (finding that the Company’s motion failed to support the statutory elements necessary to prevail on such motion). At the February 17, 2023 hearing, the Court took into submission the Parties’ legal briefs and oral arguments. On March 22, 2023, the Court decided in favor of CBD/CNPS when the Judge signed CBD/CNPS’s proposed form of judgment, which included a full rescission of the Centennial project approvals previously issued by Los Angeles County. On May 26, 2023, the Company filed a Notice of Appeal with the Superior Court, thereby appealing the Superior Court’s decision to the Second District of the California Court of Appeal. On June 27, 2023, CBD/CNPS cross-appealed the Superior Court’s ruling. During the appeal process the Superior Court’s order of the rescission of project approvals have been placed on hold.</w:t>
      </w:r>
    </w:p>
    <w:p>
      <w:pPr>
        <w:spacing w:after="0" w:line="6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As the Company’s options to reinstate the project approvals remain pending, the monetary value of any adverse decision, if any, cannot be estimated at this time.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Proceedings Incidental to Business</w:t>
      </w:r>
    </w:p>
    <w:p>
      <w:pPr>
        <w:spacing w:after="0" w:line="106"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From time to time, the Company is involved in other proceedings incidental to its business, including actions relating to employee claims, real estate disputes, contractor disputes and grievance hearings before labor regulatory agencies.</w:t>
      </w:r>
    </w:p>
    <w:p>
      <w:pPr>
        <w:spacing w:after="0" w:line="40"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outcome of these other proceedings is not predictable. However, based on current circumstances, the Company believes that the ultimate resolution of these other proceedings will not have a material adverse effect on the Company’s financial position, results of operations or cash flows, either individually or in the aggregate.</w:t>
      </w:r>
    </w:p>
    <w:p>
      <w:pPr>
        <w:spacing w:after="0" w:line="11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RETIREMENT PLANS</w:t>
      </w:r>
    </w:p>
    <w:p>
      <w:pPr>
        <w:spacing w:after="0" w:line="9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sponsors a defined benefit retirement plan, or Benefit Plan, that covers eligible employees hired prior to February 1, 2007. The benefits are based on years of service and the employee’s five-year final average salary. Contributions are intended to provide for benefits attributable to service both to date and expected to be provided in the future. The Company funds the plan in accordance with the Employee Retirement Income Security Act of 1974 (ERISA). In April 2017, the Company froze the Benefit Plan as it relates to future benefit accruals for participants. The Company expects to contribute $165,000 to the Benefit Plan in 2024.</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0" w:name="page21"/>
    <w:bookmarkEnd w:id="20"/>
    <w:p>
      <w:pPr>
        <w:ind w:right="60"/>
        <w:spacing w:after="0" w:line="254" w:lineRule="auto"/>
        <w:rPr>
          <w:sz w:val="20"/>
          <w:szCs w:val="20"/>
          <w:color w:val="auto"/>
        </w:rPr>
      </w:pPr>
      <w:r>
        <w:rPr>
          <w:rFonts w:ascii="Times New Roman" w:cs="Times New Roman" w:eastAsia="Times New Roman" w:hAnsi="Times New Roman"/>
          <w:sz w:val="18"/>
          <w:szCs w:val="18"/>
          <w:color w:val="auto"/>
        </w:rPr>
        <w:t>Benefit Plan assets consist of equity, debt and short-term money market investment funds. The Benefit Plan’s current investment policy changed during the third quarter of 2018. The policy's strategy seeks to minimize the volatility of the funding ratio. This objective will result in a prescribed asset mix between "return seeking" assets (e.g., stocks) and a bond portfolio (e.g., long duration bonds) according to a pre-determined customized investment strategy based on the Benefit Plan's funded status as the primary input. This path will be used as a reference point as to the mix of assets, which by design will de-emphasize the return seeking portion as the funded status improves. At March 31, 2024, the investment mixes were approximately at 99% debt and 1% money market funds. At December 31, 2023, the investment mixes were approximately 99% debt, and 1% money market funds. The weighted-average discount rate used in determining the periodic pension cost is 4.85% in both 2024 and 2023. The expected long-term rate of return on plan assets is 5.00% for both fiscal 2024 and 2023. The long-term rate of return on Benefit Plan assets is based on the historical returns within the plan and expectations for future returns.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pension and retirement earnings for the Benefit Plan was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gridSpan w:val="4"/>
          </w:tcPr>
          <w:p>
            <w:pPr>
              <w:jc w:val="right"/>
              <w:ind w:right="710"/>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223"/>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4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2023</w:t>
            </w:r>
          </w:p>
        </w:tc>
      </w:tr>
      <w:tr>
        <w:trPr>
          <w:trHeight w:val="210"/>
        </w:trPr>
        <w:tc>
          <w:tcPr>
            <w:tcW w:w="7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(Cost)/earnings components:</w:t>
            </w:r>
          </w:p>
        </w:tc>
        <w:tc>
          <w:tcPr>
            <w:tcW w:w="4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29"/>
        </w:trPr>
        <w:tc>
          <w:tcPr>
            <w:tcW w:w="7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cost</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29"/>
        </w:trPr>
        <w:tc>
          <w:tcPr>
            <w:tcW w:w="7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4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30"/>
        </w:trPr>
        <w:tc>
          <w:tcPr>
            <w:tcW w:w="7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amortization and deferral</w:t>
            </w:r>
          </w:p>
        </w:tc>
        <w:tc>
          <w:tcPr>
            <w:tcW w:w="4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3"/>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periodic pension cost</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
        </w:trPr>
        <w:tc>
          <w:tcPr>
            <w:tcW w:w="73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 has a Supplemental Executive Retirement Plan, or SERP, to restore to executives designated by the Compensation Committee of the Board of Directors the full benefits under the pension plan that would otherwise be restricted by certain limitations now imposed under the Internal Revenue Code. In April 2017, the Company froze the SERP plan as it relates to the accrual of additional benefits.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pension and retirement expense for the SERP was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3480" w:type="dxa"/>
            <w:vAlign w:val="bottom"/>
            <w:tcBorders>
              <w:bottom w:val="single" w:sz="8" w:color="auto"/>
            </w:tcBorders>
            <w:gridSpan w:val="4"/>
          </w:tcPr>
          <w:p>
            <w:pPr>
              <w:jc w:val="right"/>
              <w:ind w:right="71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0" w:type="dxa"/>
            <w:vAlign w:val="bottom"/>
          </w:tcPr>
          <w:p>
            <w:pPr>
              <w:spacing w:after="0"/>
              <w:rPr>
                <w:sz w:val="1"/>
                <w:szCs w:val="1"/>
                <w:color w:val="auto"/>
              </w:rPr>
            </w:pPr>
          </w:p>
        </w:tc>
      </w:tr>
      <w:tr>
        <w:trPr>
          <w:trHeight w:val="223"/>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34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10"/>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components:</w:t>
            </w:r>
          </w:p>
        </w:tc>
        <w:tc>
          <w:tcPr>
            <w:tcW w:w="3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cost</w:t>
            </w:r>
          </w:p>
        </w:tc>
        <w:tc>
          <w:tcPr>
            <w:tcW w:w="386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30"/>
        </w:trPr>
        <w:tc>
          <w:tcPr>
            <w:tcW w:w="39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amortization and other</w:t>
            </w:r>
          </w:p>
        </w:tc>
        <w:tc>
          <w:tcPr>
            <w:tcW w:w="34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48"/>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periodic pension cost</w:t>
            </w:r>
          </w:p>
        </w:tc>
        <w:tc>
          <w:tcPr>
            <w:tcW w:w="34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3420" w:type="dxa"/>
            <w:vAlign w:val="bottom"/>
            <w:tcBorders>
              <w:top w:val="single" w:sz="8" w:color="CCEEFF"/>
              <w:bottom w:val="single" w:sz="8" w:color="CCEEFF"/>
            </w:tcBorders>
            <w:vMerge w:val="restart"/>
          </w:tcPr>
          <w:p>
            <w:pPr>
              <w:jc w:val="right"/>
              <w:ind w:right="1510"/>
              <w:spacing w:after="0"/>
              <w:rPr>
                <w:sz w:val="20"/>
                <w:szCs w:val="20"/>
                <w:color w:val="auto"/>
              </w:rPr>
            </w:pPr>
            <w:r>
              <w:rPr>
                <w:rFonts w:ascii="Times New Roman" w:cs="Times New Roman" w:eastAsia="Times New Roman" w:hAnsi="Times New Roman"/>
                <w:sz w:val="18"/>
                <w:szCs w:val="18"/>
                <w:color w:val="auto"/>
              </w:rPr>
              <w:t>21</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3900" w:type="dxa"/>
            <w:vAlign w:val="bottom"/>
          </w:tcPr>
          <w:p>
            <w:pPr>
              <w:spacing w:after="0"/>
              <w:rPr>
                <w:sz w:val="24"/>
                <w:szCs w:val="24"/>
                <w:color w:val="auto"/>
              </w:rPr>
            </w:pPr>
          </w:p>
        </w:tc>
        <w:tc>
          <w:tcPr>
            <w:tcW w:w="342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00" w:type="dxa"/>
            <w:vAlign w:val="bottom"/>
            <w:tcBorders>
              <w:bottom w:val="single" w:sz="8" w:color="9A9A9A"/>
            </w:tcBorders>
          </w:tcPr>
          <w:p>
            <w:pPr>
              <w:spacing w:after="0"/>
              <w:rPr>
                <w:sz w:val="10"/>
                <w:szCs w:val="10"/>
                <w:color w:val="auto"/>
              </w:rPr>
            </w:pPr>
          </w:p>
        </w:tc>
        <w:tc>
          <w:tcPr>
            <w:tcW w:w="34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1" w:name="page22"/>
    <w:bookmarkEnd w:id="21"/>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REPORTING SEGMENTS AND RELATED INFORMATION</w:t>
      </w:r>
    </w:p>
    <w:p>
      <w:pPr>
        <w:spacing w:after="0" w:line="10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currently operates five reporting segments: commercial/industrial real estate development, resort/residential real estate development, mineral resources, farming, and ranch operations. For further details of the revenue components within each reporting segment, see Results of Operations by Segment in Item 2, "Management's Discussion and Analysis of Financial Condition and Results of Operations."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Real Estate - Commercial/Industrial Development</w:t>
      </w:r>
    </w:p>
    <w:p>
      <w:pPr>
        <w:spacing w:after="0" w:line="106"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Commercial/Industrial real estate development segment revenues consist of leases of land and/or building space to tenants at the Company's commercial retail and industrial developments, base and percentage rents from the PEF power plant lease, communication tower rents, land sales, and payments from easement leases. Refer to Note 14 (Investment in Unconsolidated and Consolidated Joint Ventures) for discussion of unconsolidated joint ventures.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revenues, expenses and operating income from this segment for the periods ended: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4"/>
          </w:tcPr>
          <w:p>
            <w:pPr>
              <w:jc w:val="right"/>
              <w:ind w:right="430"/>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223"/>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7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Commercial/industrial revenues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2,676</w:t>
            </w:r>
          </w:p>
        </w:tc>
      </w:tr>
      <w:tr>
        <w:trPr>
          <w:trHeight w:val="230"/>
        </w:trPr>
        <w:tc>
          <w:tcPr>
            <w:tcW w:w="79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Equity in earnings of unconsolidated joint ventures</w:t>
            </w: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1,517</w:t>
            </w:r>
          </w:p>
        </w:tc>
      </w:tr>
      <w:tr>
        <w:trPr>
          <w:trHeight w:val="223"/>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Commercial/industrial revenues and equity in earnings of unconsolidated joint ventures</w:t>
            </w: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4,193</w:t>
            </w:r>
          </w:p>
        </w:tc>
      </w:tr>
      <w:tr>
        <w:trPr>
          <w:trHeight w:val="230"/>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Commercial/industrial expenses</w:t>
            </w: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1,695</w:t>
            </w:r>
          </w:p>
        </w:tc>
      </w:tr>
      <w:tr>
        <w:trPr>
          <w:trHeight w:val="248"/>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results from commercial/industrial and unconsolidated joint ventures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Real Estate - Resort/Residential Development</w:t>
      </w:r>
    </w:p>
    <w:p>
      <w:pPr>
        <w:spacing w:after="0" w:line="92"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Resort/Residential real estate development segment is actively involved in pursuing land entitlement and development processes both internally and through joint ventures. The segment incurs costs and expenses related to land management activities on land held for future development, but currently generates no revenue. The segment generated losses of $1,561,000 and $388,000 for the three months ended March 31, 2024 and 2023,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Mineral Resources</w:t>
      </w:r>
    </w:p>
    <w:p>
      <w:pPr>
        <w:spacing w:after="0" w:line="106"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Mineral Resources segment revenues include water sales and oil and mineral royalties from exploration and development companies that extract or mine natural resources from the Company's land. The following table summarizes revenues, expenses and operating results from this segment for the periods ended: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4"/>
          </w:tcPr>
          <w:p>
            <w:pPr>
              <w:jc w:val="right"/>
              <w:ind w:right="450"/>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223"/>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Mineral resources revenues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6,912</w:t>
            </w:r>
          </w:p>
        </w:tc>
      </w:tr>
      <w:tr>
        <w:trPr>
          <w:trHeight w:val="230"/>
        </w:trPr>
        <w:tc>
          <w:tcPr>
            <w:tcW w:w="78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Mineral resources expenses</w:t>
            </w: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4,066</w:t>
            </w: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results from mineral resources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2,846</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Farming</w:t>
      </w:r>
    </w:p>
    <w:p>
      <w:pPr>
        <w:spacing w:after="0" w:line="106"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Farming segment revenues include the sale of almonds, pistachios, wine grapes, and hay. The following table summarizes revenues, expenses and operating results from this segment for the periods ended:</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4"/>
          </w:tcPr>
          <w:p>
            <w:pPr>
              <w:jc w:val="right"/>
              <w:ind w:right="47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0" w:type="dxa"/>
            <w:vAlign w:val="bottom"/>
          </w:tcPr>
          <w:p>
            <w:pPr>
              <w:spacing w:after="0"/>
              <w:rPr>
                <w:sz w:val="1"/>
                <w:szCs w:val="1"/>
                <w:color w:val="auto"/>
              </w:rPr>
            </w:pPr>
          </w:p>
        </w:tc>
      </w:tr>
      <w:tr>
        <w:trPr>
          <w:trHeight w:val="223"/>
        </w:trPr>
        <w:tc>
          <w:tcPr>
            <w:tcW w:w="3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39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23"/>
        </w:trPr>
        <w:tc>
          <w:tcPr>
            <w:tcW w:w="3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Farming revenues</w:t>
            </w:r>
          </w:p>
        </w:tc>
        <w:tc>
          <w:tcPr>
            <w:tcW w:w="39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0" w:type="dxa"/>
            <w:vAlign w:val="bottom"/>
          </w:tcPr>
          <w:p>
            <w:pPr>
              <w:spacing w:after="0"/>
              <w:rPr>
                <w:sz w:val="1"/>
                <w:szCs w:val="1"/>
                <w:color w:val="auto"/>
              </w:rPr>
            </w:pPr>
          </w:p>
        </w:tc>
      </w:tr>
      <w:tr>
        <w:trPr>
          <w:trHeight w:val="230"/>
        </w:trPr>
        <w:tc>
          <w:tcPr>
            <w:tcW w:w="39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Farming expenses</w:t>
            </w:r>
          </w:p>
        </w:tc>
        <w:tc>
          <w:tcPr>
            <w:tcW w:w="39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0" w:type="dxa"/>
            <w:vAlign w:val="bottom"/>
          </w:tcPr>
          <w:p>
            <w:pPr>
              <w:spacing w:after="0"/>
              <w:rPr>
                <w:sz w:val="1"/>
                <w:szCs w:val="1"/>
                <w:color w:val="auto"/>
              </w:rPr>
            </w:pPr>
          </w:p>
        </w:tc>
      </w:tr>
      <w:tr>
        <w:trPr>
          <w:trHeight w:val="248"/>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results from farming</w:t>
            </w:r>
          </w:p>
        </w:tc>
        <w:tc>
          <w:tcPr>
            <w:tcW w:w="39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3920" w:type="dxa"/>
            <w:vAlign w:val="bottom"/>
            <w:tcBorders>
              <w:top w:val="single" w:sz="8" w:color="CCEEFF"/>
              <w:bottom w:val="single" w:sz="8" w:color="CCEEFF"/>
            </w:tcBorders>
            <w:vMerge w:val="restart"/>
          </w:tcPr>
          <w:p>
            <w:pPr>
              <w:jc w:val="right"/>
              <w:ind w:right="2010"/>
              <w:spacing w:after="0"/>
              <w:rPr>
                <w:sz w:val="20"/>
                <w:szCs w:val="20"/>
                <w:color w:val="auto"/>
              </w:rPr>
            </w:pPr>
            <w:r>
              <w:rPr>
                <w:rFonts w:ascii="Times New Roman" w:cs="Times New Roman" w:eastAsia="Times New Roman" w:hAnsi="Times New Roman"/>
                <w:sz w:val="18"/>
                <w:szCs w:val="18"/>
                <w:color w:val="auto"/>
              </w:rPr>
              <w:t>22</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5"/>
        </w:trPr>
        <w:tc>
          <w:tcPr>
            <w:tcW w:w="3900" w:type="dxa"/>
            <w:vAlign w:val="bottom"/>
          </w:tcPr>
          <w:p>
            <w:pPr>
              <w:spacing w:after="0"/>
              <w:rPr>
                <w:sz w:val="24"/>
                <w:szCs w:val="24"/>
                <w:color w:val="auto"/>
              </w:rPr>
            </w:pPr>
          </w:p>
        </w:tc>
        <w:tc>
          <w:tcPr>
            <w:tcW w:w="39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00" w:type="dxa"/>
            <w:vAlign w:val="bottom"/>
            <w:tcBorders>
              <w:bottom w:val="single" w:sz="8" w:color="9A9A9A"/>
            </w:tcBorders>
          </w:tcPr>
          <w:p>
            <w:pPr>
              <w:spacing w:after="0"/>
              <w:rPr>
                <w:sz w:val="10"/>
                <w:szCs w:val="10"/>
                <w:color w:val="auto"/>
              </w:rPr>
            </w:pPr>
          </w:p>
        </w:tc>
        <w:tc>
          <w:tcPr>
            <w:tcW w:w="39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i w:val="1"/>
          <w:iCs w:val="1"/>
          <w:color w:val="auto"/>
        </w:rPr>
        <w:t>Ranch Operations</w:t>
      </w:r>
    </w:p>
    <w:p>
      <w:pPr>
        <w:spacing w:after="0" w:line="92"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The Ranch Operations segment consists of game management revenues and ancillary land uses, such as grazing leases and on-location filming. The following table summarizes revenues, expenses and operating results from this segment for the periods ended:</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4"/>
          </w:tcPr>
          <w:p>
            <w:pPr>
              <w:jc w:val="right"/>
              <w:ind w:right="550"/>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223"/>
        </w:trPr>
        <w:tc>
          <w:tcPr>
            <w:tcW w:w="7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3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7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Ranch operations revenues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w:t>
            </w:r>
          </w:p>
        </w:tc>
      </w:tr>
      <w:tr>
        <w:trPr>
          <w:trHeight w:val="229"/>
        </w:trPr>
        <w:tc>
          <w:tcPr>
            <w:tcW w:w="76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Ranch operations expenses</w:t>
            </w:r>
          </w:p>
        </w:tc>
        <w:tc>
          <w:tcPr>
            <w:tcW w:w="3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1,330</w:t>
            </w:r>
          </w:p>
        </w:tc>
      </w:tr>
      <w:tr>
        <w:trPr>
          <w:trHeight w:val="248"/>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results from ranch operations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INVESTMENT IN UNCONSOLIDATED AND CONSOLIDATED JOINT VENTURES</w:t>
      </w:r>
    </w:p>
    <w:p>
      <w:pPr>
        <w:spacing w:after="0" w:line="1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 maintains investments in joint ventures. The Company accounts for its investments in unconsolidated joint ventures using the equity method of accounting, unless the venture is a variable interest entity, or VIE, and meets the requirements for consolidation. The Company’s investment in its unconsolidated joint ventures as of March 31, 2024 was $30,075,000. The equity in the income of unconsolidated joint ventures was $1,513,000 for the three months ended March 31, 2024. The unconsolidated joint ventures have not been consolidated as of March 31, 2024, because the Company does not control the investments. The Company’s current joint ventures are as follows:</w:t>
      </w:r>
    </w:p>
    <w:p>
      <w:pPr>
        <w:spacing w:after="0" w:line="129" w:lineRule="exact"/>
        <w:rPr>
          <w:sz w:val="20"/>
          <w:szCs w:val="20"/>
          <w:color w:val="auto"/>
        </w:rPr>
      </w:pPr>
    </w:p>
    <w:p>
      <w:pPr>
        <w:ind w:left="460" w:right="40" w:hanging="331"/>
        <w:spacing w:after="0" w:line="256" w:lineRule="auto"/>
        <w:tabs>
          <w:tab w:leader="none" w:pos="4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Petro Travel Plaza Holdings LLC – TA/Petro is an unconsolidated joint venture with TravelCenters of America Inc. for the development and management of travel plazas and convenience stores. The Company has 50% voting rights and shares 60% of profit and losses in this joint venture. It houses multiple commercial eating establishments, as well as diesel and gasoline operations in TRCC. The Company does not control the investment due to it having only 50% voting rights, and because the partner in the joint venture is the managing partner and performs all of the day-to-day operations and has significant decision-making authority regarding key business components, such as fuel inventory and pricing at the facility. The Company's investment in this joint venture was $20,214,000 as of March 31, 2024.</w:t>
      </w:r>
    </w:p>
    <w:p>
      <w:pPr>
        <w:spacing w:after="0" w:line="133" w:lineRule="exact"/>
        <w:rPr>
          <w:rFonts w:ascii="Times New Roman" w:cs="Times New Roman" w:eastAsia="Times New Roman" w:hAnsi="Times New Roman"/>
          <w:sz w:val="18"/>
          <w:szCs w:val="18"/>
          <w:color w:val="auto"/>
        </w:rPr>
      </w:pPr>
    </w:p>
    <w:p>
      <w:pPr>
        <w:ind w:left="460" w:right="100" w:hanging="331"/>
        <w:spacing w:after="0" w:line="261" w:lineRule="auto"/>
        <w:tabs>
          <w:tab w:leader="none" w:pos="4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Majestic Realty Co. – Majestic Realty Co., or Majestic, is a privately-held developer and owner of industrial and commercial properties throughout the United States. The Company partnered with Majestic to form five active 50/50 joint ventures to acquire, develop, manage, and operate industrial real estate at TRCC. The partners have equal voting rights and equally share in the profit and loss of the joint venture. The Company and Majestic guarantee the performance of all outstanding debt.</w:t>
      </w:r>
    </w:p>
    <w:p>
      <w:pPr>
        <w:spacing w:after="0" w:line="58" w:lineRule="exact"/>
        <w:rPr>
          <w:rFonts w:ascii="Times New Roman" w:cs="Times New Roman" w:eastAsia="Times New Roman" w:hAnsi="Times New Roman"/>
          <w:sz w:val="18"/>
          <w:szCs w:val="18"/>
          <w:color w:val="auto"/>
        </w:rPr>
      </w:pPr>
    </w:p>
    <w:p>
      <w:pPr>
        <w:ind w:left="980" w:right="20" w:hanging="324"/>
        <w:spacing w:after="0" w:line="253" w:lineRule="auto"/>
        <w:tabs>
          <w:tab w:leader="none" w:pos="975"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29, 2022, TRC-MRC 5 LLC was formed to pursue the development, construction, lease-up, and management of an approximately 446,400 square foot industrial building located within TRCC-East. The construction of the building was completed in the fourth quarter of 2023, and the joint venture has leased 100% of the rentable spaces. The joint venture refinanced the construction loan in February 2024 with a promissory note. The note matures on February 3, 2035, and had an outstanding balance of $53,354,000 as of March 31, 2024. In December 2022, the Company contributed land with a fair value of $8,501,000 to TRC-MRC5, LLC. The total cost of the land was $2,477,000. The Company recognized profit of $3,012,000 and deferred profit of $3,012,000. Since its inception, the Company has received excess distributions resulting in a deficit balance in its investment of $1,234,000. In accordance with the applicable accounting guidance, the Company reclassified excess distributions to Other Liabilities within the Consolidated Balance Sheets. The Company expects to continue to record equity in earnings as a debit to the investment account and if it were to become positive, the Company would reclassify the liability to an asset. If it becomes obvious that any excess distribution may not be returned (upon joint venture liquidation or otherwise), the Company will immediately recognize the liability as income.</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23" w:name="page24"/>
    <w:bookmarkEnd w:id="23"/>
    <w:p>
      <w:pPr>
        <w:ind w:left="324" w:hanging="324"/>
        <w:spacing w:after="0" w:line="253" w:lineRule="auto"/>
        <w:tabs>
          <w:tab w:leader="none" w:pos="31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25, 2021, TRC-MRC 4 LLC was formed to pursue the development, construction, lease-up, and management of a 629,274 square foot industrial building located within TRCC-East. The construction of the building was completed in the fourth quarter of 2022, and the joint venture has leased 100% of the rentable space. The joint venture refinanced its construction loan in March 2023 with a promissory note. The note matures on March 1, 2033, and had an outstanding balance of $61,556,000 as of March 31, 2024. In June 2021, the Company contributed land with a fair value of $8,464,000 to TRC-MRC 4, LLC. The total cost of the land was $2,895,000. The Company recognized profit of $2,785,000 and deferred profit of $2,785,000. Since its inception, the Company has received excess distributions resulting in a deficit balance in its investment of $6,038,000. In accordance with the applicable accounting guidance, the Company reclassified excess distributions to Other Liabilities within the Consolidated Balance Sheets. The Company expects to continue to record equity in earnings as a debit to the investment account and if it were to become positive, the Company would reclassify the liability to an asset. If it becomes obvious that any excess distribution may not be returned (upon joint venture liquidation or otherwise), the Company will immediately recognize the liability as income.</w:t>
      </w:r>
    </w:p>
    <w:p>
      <w:pPr>
        <w:spacing w:after="0" w:line="70" w:lineRule="exact"/>
        <w:rPr>
          <w:rFonts w:ascii="Times New Roman" w:cs="Times New Roman" w:eastAsia="Times New Roman" w:hAnsi="Times New Roman"/>
          <w:sz w:val="18"/>
          <w:szCs w:val="18"/>
          <w:color w:val="auto"/>
        </w:rPr>
      </w:pPr>
    </w:p>
    <w:p>
      <w:pPr>
        <w:ind w:left="324" w:right="140" w:hanging="324"/>
        <w:spacing w:after="0" w:line="237" w:lineRule="auto"/>
        <w:tabs>
          <w:tab w:leader="none" w:pos="31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2018, TRC-MRC 3, LLC was formed to pursue the development, construction, leasing, and management of a 579,040 square foot industrial building on the Company's property at TRCC-East. TRC-MRC 3, LLC qualified as a VIE from inception, but the Company is not the primary beneficiary therefore it does not consolidate TRC-MRC 3, LLC in its financial statements. The construction of the building was completed in 2019, and the joint venture has leased 100% of the rentable space to two tenants. In March 2019, the joint venture entered into a promissory note with a financial institution to finance the construction of the building. The note matures on May 1, 2030 and had an outstanding principal balance of $33,404,000 as of March 31, 2024. On April 1, 2019, the Company contributed land with a fair value of $5,854,000 to TRC-MRC 3, LLC in accordance with the limited liability agreement. The Company's investment in this joint venture was $214,000 as of March 31, 2024.</w:t>
      </w:r>
    </w:p>
    <w:p>
      <w:pPr>
        <w:spacing w:after="0" w:line="79" w:lineRule="exact"/>
        <w:rPr>
          <w:rFonts w:ascii="Times New Roman" w:cs="Times New Roman" w:eastAsia="Times New Roman" w:hAnsi="Times New Roman"/>
          <w:sz w:val="18"/>
          <w:szCs w:val="18"/>
          <w:color w:val="auto"/>
        </w:rPr>
      </w:pPr>
    </w:p>
    <w:p>
      <w:pPr>
        <w:ind w:left="324" w:right="20" w:hanging="324"/>
        <w:spacing w:after="0" w:line="254" w:lineRule="auto"/>
        <w:tabs>
          <w:tab w:leader="none" w:pos="31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2016, the Company partnered with Majestic to form TRC-MRC 2, LLC to acquire, lease, and maintain a fully occupied warehouse at TRCC-West. The partnership acquired the 651,909 square foot building for $24,773,000, and was largely financed through a promissory note. The promissory note was refinanced on June 1, 2018 with a $25,240,000 promissory note. The note matures on July 3, 2028 and had an outstanding principal balance of $21,766,000 as of March 31, 2024. The building was 100% leased as of March 31, 2024. Since its inception, the Company has received excess distributions resulting in a deficit balance in its investment of $1,161,000. In accordance with the applicable accounting guidance, the Company reclassified excess distributions to Other Liabilities within the Consolidated Balance Sheets. The Company will continue to record its equity in the net income as a debit to the investment account, and if it becomes positive, it will again be shown as an asset on the consolidated balance sheet. If it becomes obvious that any excess distribution may not be returned (upon joint venture liquidation or otherwise), the Company will recognize any balance classified as a liability as income.</w:t>
      </w:r>
    </w:p>
    <w:p>
      <w:pPr>
        <w:spacing w:after="0" w:line="80" w:lineRule="exact"/>
        <w:rPr>
          <w:rFonts w:ascii="Times New Roman" w:cs="Times New Roman" w:eastAsia="Times New Roman" w:hAnsi="Times New Roman"/>
          <w:sz w:val="18"/>
          <w:szCs w:val="18"/>
          <w:color w:val="auto"/>
        </w:rPr>
      </w:pPr>
    </w:p>
    <w:p>
      <w:pPr>
        <w:ind w:left="324" w:right="100" w:hanging="324"/>
        <w:spacing w:after="0" w:line="254" w:lineRule="auto"/>
        <w:tabs>
          <w:tab w:leader="none" w:pos="31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2016, TRC-MRC 1, LLC was formed to develop and operate an approximately 480,480 square foot industrial building at TRCC-East. The joint venture completed construction in 2017. Since inception of the joint venture, the Company has received excess distributions resulting in a deficit balance in its investment of $1,374,000. In accordance with the applicable accounting guidance, the Company reclassified excess distributions to Other Liabilities within the Consolidated Balance Sheets. The Company will continue to record its equity in the net income as a debit to the investment account, and if it becomes positive, it will again be shown as an asset on the consolidated balance sheet. If it becomes obvious that any excess distribution may not be returned (upon joint venture liquidation or otherwise), the Company will recognize any balance classified as a liability as income. The joint venture refinanced its construction loan in December 2018 with a mortgage loan. The original balance of the mortgage loan was $25,030,000, of which $21,979,000 was outstanding as of March 31, 2024.</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4"/>
          </w:cols>
          <w:pgMar w:left="976" w:top="985" w:right="339" w:bottom="1440" w:gutter="0" w:footer="0" w:header="0"/>
        </w:sectPr>
      </w:pPr>
    </w:p>
    <w:bookmarkStart w:id="24" w:name="page25"/>
    <w:bookmarkEnd w:id="24"/>
    <w:p>
      <w:pPr>
        <w:ind w:left="340" w:hanging="332"/>
        <w:spacing w:after="0" w:line="253" w:lineRule="auto"/>
        <w:tabs>
          <w:tab w:leader="none" w:pos="3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TRCC/Rock Outlet Center LLC – This joint venture was formed in 2013 with Rockefeller Group Development Corporation, or Rockefeller. to develop, own, and manage a net leasable 326,000 square foot outlet center on land at TRCC-East. At March 31, 2024, the Company’s equity investment balance in this joint venture was $9,647,000. The Company controls 50% of the voting interests of TRCC/Rock Outlet Center LLC; thus, it does not control the joint venture by voting interest alone. The Company is the named managing member. The managing member’s responsibilities relate to the routine day-to-day activities of TRCC/Rock Outlet Center LLC. However, all operating decisions during the development period and ongoing operations, including the setting and monitoring of the budget, leasing, marketing, financing, and selection of the contractor for any construction, are jointly made by both members of the joint venture. Therefore, the Company concluded that both members have significant participating rights that are sufficient to overcome the presumption of the Company controlling the joint venture through it being named the managing member. Therefore, the investment in TRCC/Rock Outlet Center LLC is being accounted for under the equity method. On August 16, 2023, the TRCC/Rock Outlet Center LLC joint venture successfully extended the maturity date of its term note with a financial institution from May 31, 2024 to June 30, 2025. In connection with the loan extension, the joint venture also reduced the outstanding amount by $6,000,000. As of March 31, 2024, the outstanding balance of the term note was $20,776,000. The Company and Rockefeller guarantee the performance of the debt.</w:t>
      </w:r>
    </w:p>
    <w:p>
      <w:pPr>
        <w:spacing w:after="0" w:line="68"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Centennial Founders, LLC – CFL is a joint venture with TRI Pointe Homes to pursue the entitlement and development of land that the Company owns in Los Angeles County. As of March 31, 2024, the Company owned 93.51% of CFL.</w:t>
      </w:r>
    </w:p>
    <w:p>
      <w:pPr>
        <w:spacing w:after="0" w:line="122"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 Company’s investment balance in each of its unconsolidated joint ventures differs from its capital accounts in the respective joint ventures. The variance represents the difference between the cost basis of assets contributed by the Company and the agreed upon fair value of those assets.</w:t>
      </w:r>
    </w:p>
    <w:p>
      <w:pPr>
        <w:spacing w:after="0" w:line="200" w:lineRule="exact"/>
        <w:rPr>
          <w:sz w:val="20"/>
          <w:szCs w:val="20"/>
          <w:color w:val="auto"/>
        </w:rPr>
      </w:pPr>
    </w:p>
    <w:p>
      <w:pPr>
        <w:spacing w:after="0" w:line="2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auto"/>
        </w:rPr>
        <w:t>Unaudited condensed statements of operations for the three months ended March 31, 2024 and 2023 and condensed balance sheet information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unconsolidated joint ventures as of March 31, 2024 and December 31, 2023 are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6"/>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14"/>
        </w:trPr>
        <w:tc>
          <w:tcPr>
            <w:tcW w:w="3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20" w:type="dxa"/>
            <w:vAlign w:val="bottom"/>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Joint Venture</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3"/>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TRC</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260" w:type="dxa"/>
            <w:vAlign w:val="bottom"/>
          </w:tcPr>
          <w:p>
            <w:pPr>
              <w:spacing w:after="0"/>
              <w:rPr>
                <w:sz w:val="20"/>
                <w:szCs w:val="20"/>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20" w:type="dxa"/>
            <w:vAlign w:val="bottom"/>
            <w:gridSpan w:val="5"/>
          </w:tcPr>
          <w:p>
            <w:pPr>
              <w:ind w:left="480"/>
              <w:spacing w:after="0"/>
              <w:rPr>
                <w:sz w:val="20"/>
                <w:szCs w:val="20"/>
                <w:color w:val="auto"/>
              </w:rPr>
            </w:pPr>
            <w:r>
              <w:rPr>
                <w:rFonts w:ascii="Times New Roman" w:cs="Times New Roman" w:eastAsia="Times New Roman" w:hAnsi="Times New Roman"/>
                <w:sz w:val="18"/>
                <w:szCs w:val="18"/>
                <w:b w:val="1"/>
                <w:bCs w:val="1"/>
                <w:color w:val="auto"/>
              </w:rPr>
              <w:t>Earnings (Loss)</w:t>
            </w:r>
          </w:p>
        </w:tc>
        <w:tc>
          <w:tcPr>
            <w:tcW w:w="280" w:type="dxa"/>
            <w:vAlign w:val="bottom"/>
          </w:tcPr>
          <w:p>
            <w:pPr>
              <w:spacing w:after="0"/>
              <w:rPr>
                <w:sz w:val="20"/>
                <w:szCs w:val="20"/>
                <w:color w:val="auto"/>
              </w:rPr>
            </w:pPr>
          </w:p>
        </w:tc>
        <w:tc>
          <w:tcPr>
            <w:tcW w:w="2580" w:type="dxa"/>
            <w:vAlign w:val="bottom"/>
            <w:gridSpan w:val="4"/>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Equity in Earnings (Loss)</w:t>
            </w:r>
          </w:p>
        </w:tc>
        <w:tc>
          <w:tcPr>
            <w:tcW w:w="0" w:type="dxa"/>
            <w:vAlign w:val="bottom"/>
          </w:tcPr>
          <w:p>
            <w:pPr>
              <w:spacing w:after="0"/>
              <w:rPr>
                <w:sz w:val="1"/>
                <w:szCs w:val="1"/>
                <w:color w:val="auto"/>
              </w:rPr>
            </w:pPr>
          </w:p>
        </w:tc>
      </w:tr>
      <w:tr>
        <w:trPr>
          <w:trHeight w:val="223"/>
        </w:trPr>
        <w:tc>
          <w:tcPr>
            <w:tcW w:w="3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Petro Travel Plaza Holdings, LLC</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34,499</w:t>
            </w:r>
          </w:p>
        </w:tc>
        <w:tc>
          <w:tcPr>
            <w:tcW w:w="12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34,812</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12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2,270</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10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0" w:type="dxa"/>
            <w:vAlign w:val="bottom"/>
          </w:tcPr>
          <w:p>
            <w:pPr>
              <w:spacing w:after="0"/>
              <w:rPr>
                <w:sz w:val="1"/>
                <w:szCs w:val="1"/>
                <w:color w:val="auto"/>
              </w:rPr>
            </w:pPr>
          </w:p>
        </w:tc>
      </w:tr>
      <w:tr>
        <w:trPr>
          <w:trHeight w:val="229"/>
        </w:trPr>
        <w:tc>
          <w:tcPr>
            <w:tcW w:w="3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TRCC/Rock Outlet Center, LLC</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TRC-MRC 1, LLC</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29"/>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TRC-MRC 2, LLC</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TRC-MRC 3, LLC</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29"/>
        </w:trPr>
        <w:tc>
          <w:tcPr>
            <w:tcW w:w="3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TRC-MRC 4, LLC</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TRC-MRC 5, LLC</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3"/>
        </w:trPr>
        <w:tc>
          <w:tcPr>
            <w:tcW w:w="3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43,131</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41,421</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2,745</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2,579</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1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1,517</w:t>
            </w:r>
          </w:p>
        </w:tc>
        <w:tc>
          <w:tcPr>
            <w:tcW w:w="0" w:type="dxa"/>
            <w:vAlign w:val="bottom"/>
          </w:tcPr>
          <w:p>
            <w:pPr>
              <w:spacing w:after="0"/>
              <w:rPr>
                <w:sz w:val="1"/>
                <w:szCs w:val="1"/>
                <w:color w:val="auto"/>
              </w:rPr>
            </w:pPr>
          </w:p>
        </w:tc>
      </w:tr>
      <w:tr>
        <w:trPr>
          <w:trHeight w:val="20"/>
        </w:trPr>
        <w:tc>
          <w:tcPr>
            <w:tcW w:w="3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Centennial Founders, LLC</w:t>
            </w: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3240" w:type="dxa"/>
            <w:vAlign w:val="bottom"/>
            <w:vMerge w:val="continue"/>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3240" w:type="dxa"/>
            <w:vAlign w:val="bottom"/>
            <w:vMerge w:val="continue"/>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3"/>
          </w:tcPr>
          <w:p>
            <w:pPr>
              <w:jc w:val="center"/>
              <w:ind w:left="550"/>
              <w:spacing w:after="0"/>
              <w:rPr>
                <w:sz w:val="20"/>
                <w:szCs w:val="20"/>
                <w:color w:val="auto"/>
              </w:rPr>
            </w:pPr>
            <w:r>
              <w:rPr>
                <w:rFonts w:ascii="Times New Roman" w:cs="Times New Roman" w:eastAsia="Times New Roman" w:hAnsi="Times New Roman"/>
                <w:sz w:val="18"/>
                <w:szCs w:val="18"/>
                <w:color w:val="auto"/>
                <w:w w:val="98"/>
              </w:rPr>
              <w:t>Consolidated</w:t>
            </w:r>
          </w:p>
        </w:tc>
        <w:tc>
          <w:tcPr>
            <w:tcW w:w="9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20" w:right="400" w:firstLine="6"/>
        <w:spacing w:after="0" w:line="250" w:lineRule="auto"/>
        <w:tabs>
          <w:tab w:leader="none" w:pos="2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for TRCC/Rock Outlet Center are presented net of non-cash tenant allowance amortization of $0.4 million and $0.3 million for the three months ended March 31, 2024 and March 31, 2023, respectively.</w:t>
      </w:r>
    </w:p>
    <w:p>
      <w:pPr>
        <w:spacing w:after="0" w:line="200" w:lineRule="exact"/>
        <w:rPr>
          <w:sz w:val="20"/>
          <w:szCs w:val="20"/>
          <w:color w:val="auto"/>
        </w:rPr>
      </w:pPr>
    </w:p>
    <w:p>
      <w:pPr>
        <w:spacing w:after="0" w:line="24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9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2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w w:val="97"/>
              </w:rPr>
              <w:t>Joint Venture</w:t>
            </w:r>
          </w:p>
        </w:tc>
        <w:tc>
          <w:tcPr>
            <w:tcW w:w="140" w:type="dxa"/>
            <w:vAlign w:val="bottom"/>
          </w:tcPr>
          <w:p>
            <w:pPr>
              <w:spacing w:after="0"/>
              <w:rPr>
                <w:sz w:val="20"/>
                <w:szCs w:val="20"/>
                <w:color w:val="auto"/>
              </w:rPr>
            </w:pPr>
          </w:p>
        </w:tc>
        <w:tc>
          <w:tcPr>
            <w:tcW w:w="8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60" w:type="dxa"/>
            <w:vAlign w:val="bottom"/>
          </w:tcPr>
          <w:p>
            <w:pPr>
              <w:spacing w:after="0"/>
              <w:rPr>
                <w:sz w:val="20"/>
                <w:szCs w:val="20"/>
                <w:color w:val="auto"/>
              </w:rPr>
            </w:pPr>
          </w:p>
        </w:tc>
        <w:tc>
          <w:tcPr>
            <w:tcW w:w="7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TRC</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w w:val="97"/>
              </w:rPr>
              <w:t>Joint Venture</w:t>
            </w:r>
          </w:p>
        </w:tc>
        <w:tc>
          <w:tcPr>
            <w:tcW w:w="140" w:type="dxa"/>
            <w:vAlign w:val="bottom"/>
          </w:tcPr>
          <w:p>
            <w:pPr>
              <w:spacing w:after="0"/>
              <w:rPr>
                <w:sz w:val="20"/>
                <w:szCs w:val="20"/>
                <w:color w:val="auto"/>
              </w:rPr>
            </w:pPr>
          </w:p>
        </w:tc>
        <w:tc>
          <w:tcPr>
            <w:tcW w:w="86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200" w:type="dxa"/>
            <w:vAlign w:val="bottom"/>
          </w:tcPr>
          <w:p>
            <w:pPr>
              <w:spacing w:after="0"/>
              <w:rPr>
                <w:sz w:val="20"/>
                <w:szCs w:val="20"/>
                <w:color w:val="auto"/>
              </w:rPr>
            </w:pPr>
          </w:p>
        </w:tc>
        <w:tc>
          <w:tcPr>
            <w:tcW w:w="8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TRC</w:t>
            </w:r>
          </w:p>
        </w:tc>
        <w:tc>
          <w:tcPr>
            <w:tcW w:w="0" w:type="dxa"/>
            <w:vAlign w:val="bottom"/>
          </w:tcPr>
          <w:p>
            <w:pPr>
              <w:spacing w:after="0"/>
              <w:rPr>
                <w:sz w:val="1"/>
                <w:szCs w:val="1"/>
                <w:color w:val="auto"/>
              </w:rPr>
            </w:pPr>
          </w:p>
        </w:tc>
      </w:tr>
      <w:tr>
        <w:trPr>
          <w:trHeight w:val="167"/>
        </w:trPr>
        <w:tc>
          <w:tcPr>
            <w:tcW w:w="2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Pr>
          <w:p>
            <w:pPr>
              <w:spacing w:after="0"/>
              <w:rPr>
                <w:sz w:val="14"/>
                <w:szCs w:val="14"/>
                <w:color w:val="auto"/>
              </w:rPr>
            </w:pPr>
          </w:p>
        </w:tc>
        <w:tc>
          <w:tcPr>
            <w:tcW w:w="86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Debt</w:t>
            </w:r>
          </w:p>
        </w:tc>
        <w:tc>
          <w:tcPr>
            <w:tcW w:w="1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Pr>
          <w:p>
            <w:pPr>
              <w:spacing w:after="0"/>
              <w:rPr>
                <w:sz w:val="14"/>
                <w:szCs w:val="14"/>
                <w:color w:val="auto"/>
              </w:rPr>
            </w:pPr>
          </w:p>
        </w:tc>
        <w:tc>
          <w:tcPr>
            <w:tcW w:w="86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Debt</w:t>
            </w:r>
          </w:p>
        </w:tc>
        <w:tc>
          <w:tcPr>
            <w:tcW w:w="1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0" w:type="dxa"/>
            <w:vAlign w:val="bottom"/>
          </w:tcPr>
          <w:p>
            <w:pPr>
              <w:spacing w:after="0"/>
              <w:rPr>
                <w:sz w:val="1"/>
                <w:szCs w:val="1"/>
                <w:color w:val="auto"/>
              </w:rPr>
            </w:pPr>
          </w:p>
        </w:tc>
      </w:tr>
      <w:tr>
        <w:trPr>
          <w:trHeight w:val="243"/>
        </w:trPr>
        <w:tc>
          <w:tcPr>
            <w:tcW w:w="2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 in thousands)</w:t>
            </w:r>
          </w:p>
        </w:tc>
        <w:tc>
          <w:tcPr>
            <w:tcW w:w="1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vMerge w:val="continue"/>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vMerge w:val="continue"/>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vMerge w:val="continue"/>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Petro Travel Plaza Holdings, LLC</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73,382</w:t>
            </w:r>
          </w:p>
        </w:tc>
        <w:tc>
          <w:tcPr>
            <w:tcW w:w="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54,356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20,214</w:t>
            </w:r>
          </w:p>
        </w:tc>
        <w:tc>
          <w:tcPr>
            <w:tcW w:w="100" w:type="dxa"/>
            <w:vAlign w:val="bottom"/>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72,633</w:t>
            </w:r>
          </w:p>
        </w:tc>
        <w:tc>
          <w:tcPr>
            <w:tcW w:w="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52,950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19,370</w:t>
            </w:r>
          </w:p>
        </w:tc>
        <w:tc>
          <w:tcPr>
            <w:tcW w:w="0" w:type="dxa"/>
            <w:vAlign w:val="bottom"/>
          </w:tcPr>
          <w:p>
            <w:pPr>
              <w:spacing w:after="0"/>
              <w:rPr>
                <w:sz w:val="1"/>
                <w:szCs w:val="1"/>
                <w:color w:val="auto"/>
              </w:rPr>
            </w:pPr>
          </w:p>
        </w:tc>
      </w:tr>
      <w:tr>
        <w:trPr>
          <w:trHeight w:val="230"/>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TRCC/Rock Outlet Center, LLC</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57,022</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(20,776)</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34,943</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58,040</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(20,850)</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35,535</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9,943</w:t>
            </w:r>
          </w:p>
        </w:tc>
        <w:tc>
          <w:tcPr>
            <w:tcW w:w="0" w:type="dxa"/>
            <w:vAlign w:val="bottom"/>
          </w:tcPr>
          <w:p>
            <w:pPr>
              <w:spacing w:after="0"/>
              <w:rPr>
                <w:sz w:val="1"/>
                <w:szCs w:val="1"/>
                <w:color w:val="auto"/>
              </w:rPr>
            </w:pPr>
          </w:p>
        </w:tc>
      </w:tr>
      <w:tr>
        <w:trPr>
          <w:trHeight w:val="230"/>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TRC-MRC 1, LLC</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25,292</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(21,979)</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25,224</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(22,144)</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TRC-MRC 2, LLC</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20,150</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(21,766)</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18,882</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(21,939)</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(2,597)</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TRC-MRC 3, LLC</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35,806</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(33,404)</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2,926</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35,467</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(33,627)</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30"/>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TRC-MRC 4, LLC</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50,757</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(61,556)</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(10,546)</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49,964</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(61,776)</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(12,192)</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TRC-MRC 5, LLC</w:t>
            </w:r>
          </w:p>
        </w:tc>
        <w:tc>
          <w:tcPr>
            <w:tcW w:w="1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52,869</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(53,354)</w:t>
            </w: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49,687</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(35,138)</w:t>
            </w: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8,390</w:t>
            </w: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4,194</w:t>
            </w:r>
          </w:p>
        </w:tc>
        <w:tc>
          <w:tcPr>
            <w:tcW w:w="0" w:type="dxa"/>
            <w:vAlign w:val="bottom"/>
          </w:tcPr>
          <w:p>
            <w:pPr>
              <w:spacing w:after="0"/>
              <w:rPr>
                <w:sz w:val="1"/>
                <w:szCs w:val="1"/>
                <w:color w:val="auto"/>
              </w:rPr>
            </w:pPr>
          </w:p>
        </w:tc>
      </w:tr>
      <w:tr>
        <w:trPr>
          <w:trHeight w:val="223"/>
        </w:trPr>
        <w:tc>
          <w:tcPr>
            <w:tcW w:w="2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315,278</w:t>
            </w:r>
          </w:p>
        </w:tc>
        <w:tc>
          <w:tcPr>
            <w:tcW w:w="2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(225,200)</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82,163</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30,075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309,897</w:t>
            </w:r>
          </w:p>
        </w:tc>
        <w:tc>
          <w:tcPr>
            <w:tcW w:w="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(208,030)</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85,857</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33,648</w:t>
            </w:r>
          </w:p>
        </w:tc>
        <w:tc>
          <w:tcPr>
            <w:tcW w:w="0" w:type="dxa"/>
            <w:vAlign w:val="bottom"/>
          </w:tcPr>
          <w:p>
            <w:pPr>
              <w:spacing w:after="0"/>
              <w:rPr>
                <w:sz w:val="1"/>
                <w:szCs w:val="1"/>
                <w:color w:val="auto"/>
              </w:rPr>
            </w:pPr>
          </w:p>
        </w:tc>
      </w:tr>
      <w:tr>
        <w:trPr>
          <w:trHeight w:val="20"/>
        </w:trPr>
        <w:tc>
          <w:tcPr>
            <w:tcW w:w="2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Centennial Founders, LLC</w:t>
            </w: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2960" w:type="dxa"/>
            <w:vAlign w:val="bottom"/>
            <w:vMerge w:val="continue"/>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960" w:type="dxa"/>
            <w:vAlign w:val="bottom"/>
            <w:vMerge w:val="continue"/>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105,661</w:t>
            </w:r>
          </w:p>
        </w:tc>
        <w:tc>
          <w:tcPr>
            <w:tcW w:w="2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105,258</w:t>
            </w: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104,979</w:t>
            </w:r>
          </w:p>
        </w:tc>
        <w:tc>
          <w:tcPr>
            <w:tcW w:w="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104,753</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360" w:hanging="314"/>
        <w:spacing w:after="0"/>
        <w:tabs>
          <w:tab w:leader="none" w:pos="3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Centennial Founders, LLC is consolidated within the Company's financial statements.</w:t>
      </w:r>
    </w:p>
    <w:p>
      <w:pPr>
        <w:spacing w:after="0" w:line="194"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TCWD is a not-for-profit governmental entity, organized on December 28, 1965, pursuant to Division 13 of the Water Code, State of California. TCWD is a landowner voting district, which requires an elector, or voter, to be an owner of land located within the district. TCWD was organized to provide the water needs for future municipal and industrial development. The Company is the largest landowner and taxpayer within TCWD. The Company has a water service contract with TCWD that entitles it to receive all of TCWD’s State Water Project entitlement and all of TCWD’s banked water. TCWD is also entitled to make assessments of all taxpayers within the district, to the extent funds are required to cover expenses and to charge water users within the district for the use of water. From time to time, the Company transacts with TCWD in the ordinary course of business.</w:t>
      </w:r>
    </w:p>
    <w:p>
      <w:pPr>
        <w:spacing w:after="0" w:line="6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Company has water contracts with WRMWSD for SWP water deliveries to its agricultural and municipal/industrial operations in the San Joaquin Valley. The terms of these contracts extend to 2035. Under the contracts, the Company is entitled to annual water for 5,496 acres of land, or 15,547 acre-feet of water, subject to SWP allocations. The Company's Executive Vice President and Chief Operating Officer is one of nine directors at WRMWSD. As of March 31, 2024, the Company paid $1,482,000 for these water contracts and related costs.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6EBF"/>
        </w:rPr>
        <w:t>ITEM 2. MANAGEMENT'S DISCUSSION AND ANALYSIS OF FINANCIAL CONDITION AND RESULTS OF OPERATIONS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Forward-Looking Statements</w:t>
      </w:r>
    </w:p>
    <w:p>
      <w:pPr>
        <w:spacing w:after="0" w:line="102"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i w:val="1"/>
          <w:iCs w:val="1"/>
          <w:color w:val="auto"/>
        </w:rPr>
        <w:t>This Quarterly Report on Form 10-Q contains forward-looking statements, including without limitation statements regarding strategic alliances, the almond, pistachio and grape industries, the future plantings of permanent crops, future yields, prices and water availability for the Company's crops and real estate operations, future prices, production and demand for oil and other minerals, future development of the Company's property, future revenue and income of its jointly-owned travel plaza and other joint venture operations, potential losses to Tejon Ranch Co. and its subsidiaries (the Company, Tejon, we, us, and our) as a result of pending environmental proceedings, the adequacy of future cash flows to fund our operations, and of current assets and contracts to meet our water and other commitments, market value risks associated with investment and risk management activities and with respect to inventory, accounts receivable and our own outstanding indebtedness, ongoing negotiations and other future events and conditions. In some cases, these statements are identifiable through use of words such as “anticipate,” “believe,” “estimate,” “expect,” “intend,” “plan,” “project,” “target,” “can,” “could,” “may,” “will,” “should,” “would,” “likely,” and similar expressions such as “in the process.” In addition, any statements that refer to projections of our future financial performance, our anticipated growth, and trends in our business and other characterizations of future events or circumstances are forward-looking statements. We caution you not to place undue reliance on these forward-looking statements. These forward-looking statements are not a guarantee of future performance, are subject to assumptions and involve known and unknown risks, uncertainties and other important factors that could cause the actual results, performance or achievements of the Company, or industry results, to differ materially from any future results, performance, or achievement implied by such forward-looking statements. These risks, uncertainties and important factors include, but are not limited to, weather, market and economic forces, availability of financing for land development activities, and competition and success in obtaining various governmental approvals and entitlements for land development activities. No assurance can be given that the actual future results will not differ materially from the forward-looking statements that we make for several reasons, including those described above and in the section entitled “Risk Factors” in our most recent Annual Report on Form 10-K.</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6EBF"/>
        </w:rPr>
        <w:t>OVERVIEW</w:t>
      </w:r>
    </w:p>
    <w:p>
      <w:pPr>
        <w:spacing w:after="0" w:line="9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are a diversified real estate development and agribusiness company committed to responsibly using our land and resources to meet the housing, employment, and lifestyle needs of Californians and to create value for our shareholders. In support of these objectives, we have been investing in land planning and entitlement activities for new commercial/industrial and resort/residential land developments and in infrastructure improvements within our active industrial development. Our prime asset is approximately 270,000 acres of contiguous, largely undeveloped land that, at its most southerly border, is 60 miles north of Los Angeles and, at its most northerly border, is 15 miles east of Bakersfield.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6EBF"/>
        </w:rPr>
        <w:t>Business Objectives and Strategies</w:t>
      </w:r>
    </w:p>
    <w:p>
      <w:pPr>
        <w:spacing w:after="0" w:line="20"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8"/>
          <w:szCs w:val="18"/>
          <w:color w:val="auto"/>
        </w:rPr>
        <w:t>Our primary business objective is to maximize long-term shareholder value through the improvement and monetization of our land-based assets. A key element of our strategy is to entitle and then develop large-scale mixed-use master planned residential and commercial/industrial real estate development projects to serve the growing populations of Southern and Central California. Our mixed-use master planned residential developments include up to 35,278 housing units, and more than 35 million square feet of commercial space. We have obtained entitlements on MV and the first approved final map for the project consisting of 401 residential lots and parcels for hospitality, amenities, and public uses. The Grapevine at Tejon Community has approved entitlements for 12,000 units and 5 million square feet of commercial development. Centennial at Tejon Ranch, or Centennial, had entitlements approved in 2019 by the Los Angeles County Board of Supervisors. These approvals were litigated in two lawsuits filed in Los Angeles County Superior Court in May 2019 and the Company has since worked on defending and addressing the ongoing litigation, including considering all options to address the Superior Court’s January 2022 decision and the Superior Court’s March 22, 2023 final judgment. On May 26, 2023, we filed a Notice of Appeal, thereby appealing the Superior Court’s decision to the Second District of the California Court of Appeal. On June 27, 2023, CBD/CNPS cross-appealed the Superior Court’s ruling. During the appeal process the Superior Court’s order of the rescission of project approvals have been placed on hold. See Note 11 (Commitments and Contingencies) of the Notes to Unaudited Consolidated Financial Statements for additional information regarding the Centennial litigation.</w:t>
      </w:r>
    </w:p>
    <w:p>
      <w:pPr>
        <w:spacing w:after="0" w:line="8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are currently executing on value creation as we are engaged in construction, commercial sales, and leasing at our fully operational commercial/industrial center, TRCC. During the first quarter of 2024, the Company began construction of the first phase of a multi-family community, Terra Vista at Tejon, within TRCC. The development is located on a 22-acre site located immediately north of the Outlets at Tejon. In this first phase, the Company plans to develop 228 units of multi-family residences, in seven apartment buildings, as well as a clubhouse with pool and fitness facilities. The Conditional Use Permit approved by Kern County Board of Supervisors authorized up to a maximum of 495 multi-family residences to be constructed. All of these efforts are supported by diverse revenue streams generated from other operations, including: farming, mineral resources, ranch operations, and our various joint ventures.</w:t>
      </w: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3"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006EBF"/>
        </w:rPr>
        <w:t>Our Business</w:t>
      </w:r>
    </w:p>
    <w:p>
      <w:pPr>
        <w:spacing w:after="0" w:line="94"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We currently operate in five reporting segments: commercial/industrial real estate development; resort/residential real estate development; mineral resources; farming; and ranch operations.</w:t>
      </w:r>
    </w:p>
    <w:p>
      <w:pPr>
        <w:spacing w:after="0" w:line="40"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Activities within the commercial/industrial real estate development segment include planning and permitting of land for development; construction of infrastructure; construction of pre-leased buildings; construction of buildings to be leased or sold; and the sale of land to third-parties for their own development. The commercial/industrial real estate development segment also includes activities related to the power plant lease and communications leases.</w:t>
      </w:r>
    </w:p>
    <w:p>
      <w:pPr>
        <w:spacing w:after="0" w:line="58"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At the heart of the commercial/industrial real estate development segment is TRCC, a 20 million square foot commercial/industrial development on Interstate 5 just north of the Los Angeles basin. Over eight million square feet of industrial, commercial and retail space has already been developed or under development, including distribution centers for IKEA, Caterpillar, Nestlé, Famous Footwear, L'Oreal, Camping World, Sunrise Brands, Dollar General and RectorSeal. TRCC sits on both sides of Interstate 5, giving distributors immediate access to the west coast’s principal north-south goods movement corridor.</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also involved in multiple joint ventures within TRCC with several partners that help us expand our commercial/industrial business activities:</w:t>
      </w:r>
    </w:p>
    <w:p>
      <w:pPr>
        <w:spacing w:after="0" w:line="104" w:lineRule="exact"/>
        <w:rPr>
          <w:sz w:val="20"/>
          <w:szCs w:val="20"/>
          <w:color w:val="auto"/>
        </w:rPr>
      </w:pPr>
    </w:p>
    <w:p>
      <w:pPr>
        <w:ind w:left="660" w:right="8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joint venture with TravelCenters of America that owns and operates two travel and truck stop facilities, comprised of five separate gas stations with convenience stores and fast-food restaurants within TRCC-West and TRCC-East.</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joint venture with Rockefeller Development Group, or Rockefeller:</w:t>
      </w:r>
    </w:p>
    <w:p>
      <w:pPr>
        <w:spacing w:after="0" w:line="90"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TRCC/Rock Outlet Center LLC operates the Outlets at Tejon, a net leasable 326,000 square foot shopping experience in TRCC-East.</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Five joint ventures with Majestic Realty Co., or Majestic, to develop, manage, and operate industrial buildings within TRCC:</w:t>
      </w:r>
    </w:p>
    <w:p>
      <w:pPr>
        <w:spacing w:after="0" w:line="10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TRC-MRC 1, LLC operates a 480,480 square foot industrial building in TRCC-East that is fully leased;</w:t>
      </w:r>
    </w:p>
    <w:p>
      <w:pPr>
        <w:spacing w:after="0" w:line="90"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TRC-MRC 2, LLC operates a 651,909 square foot building in TRCC-West that is fully leased;</w:t>
      </w:r>
    </w:p>
    <w:p>
      <w:pPr>
        <w:spacing w:after="0" w:line="10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TRC-MRC 3, LLC operates a 579,040 square foot industrial building in TRCC-East that is fully leased;</w:t>
      </w:r>
    </w:p>
    <w:p>
      <w:pPr>
        <w:spacing w:after="0" w:line="10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TRC-MRC 4, LLC operates a 629,274 square foot industrial building in TRCC-East that is fully leased; and</w:t>
      </w:r>
    </w:p>
    <w:p>
      <w:pPr>
        <w:spacing w:after="0" w:line="90"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TRC-MRC 5, LLC operates a 446,400 square foot industrial building in TRCC-East that is fully leased.</w:t>
      </w:r>
    </w:p>
    <w:p>
      <w:pPr>
        <w:spacing w:after="0" w:line="10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resort/residential real estate development segment is actively involved in the land entitlement and development process internally and through a joint venture. Our active developments within this segment are MV, Centennial, and Grapevine.</w:t>
      </w:r>
    </w:p>
    <w:p>
      <w:pPr>
        <w:spacing w:after="0" w:line="40" w:lineRule="exact"/>
        <w:rPr>
          <w:sz w:val="20"/>
          <w:szCs w:val="20"/>
          <w:color w:val="auto"/>
        </w:rPr>
      </w:pPr>
    </w:p>
    <w:p>
      <w:pPr>
        <w:ind w:left="660" w:hanging="328"/>
        <w:spacing w:after="0" w:line="261"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MV encompasses a total of 26,417 acres, of which 5,082 acres will be used for a mixed-use development that will include housing, retail, and commercial components. MV is entitled for 3,450 homes, 160,000 square feet of commercial development, 750 hotel keys, and more than 21,335 acres of open space. The first final map for the project consisting of 401 residential lots and parcels for hospitality, amenities, and public uses was approved by Kern County in December 2021;</w:t>
      </w:r>
    </w:p>
    <w:p>
      <w:pPr>
        <w:spacing w:after="0" w:line="31" w:lineRule="exact"/>
        <w:rPr>
          <w:rFonts w:ascii="Times New Roman" w:cs="Times New Roman" w:eastAsia="Times New Roman" w:hAnsi="Times New Roman"/>
          <w:sz w:val="18"/>
          <w:szCs w:val="18"/>
          <w:color w:val="auto"/>
        </w:rPr>
      </w:pPr>
    </w:p>
    <w:p>
      <w:pPr>
        <w:ind w:left="660" w:hanging="328"/>
        <w:spacing w:after="0" w:line="245"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Centennial development is a mixed-use master planned community development encompassing 12,323 acres of our land within Los Angeles County. Upon completion of Centennial, it is estimated that the community will include approximately 19,333 homes and 10.1 million square feet of commercial development, including nearly 3,500 affordable units. See Note 11 (Commitments and Contingencies) of the Notes to Unaudited Consolidated Financial Statements for additional information related to current litigation;</w:t>
      </w:r>
    </w:p>
    <w:p>
      <w:pPr>
        <w:spacing w:after="0" w:line="59" w:lineRule="exact"/>
        <w:rPr>
          <w:rFonts w:ascii="Times New Roman" w:cs="Times New Roman" w:eastAsia="Times New Roman" w:hAnsi="Times New Roman"/>
          <w:sz w:val="18"/>
          <w:szCs w:val="18"/>
          <w:color w:val="auto"/>
        </w:rPr>
      </w:pPr>
    </w:p>
    <w:p>
      <w:pPr>
        <w:ind w:left="660" w:right="200" w:hanging="328"/>
        <w:spacing w:after="0" w:line="24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Grapevine is an 8,010-acre development area located on the San Joaquin Valley floor area of our lands, adjacent to TRCC. Upon completion of Grapevine, the community will include 12,000 homes, 5.1 million square feet of commercial development, and more than 3,367 acres of open space and parks; and</w:t>
      </w:r>
    </w:p>
    <w:p>
      <w:pPr>
        <w:spacing w:after="0" w:line="62" w:lineRule="exact"/>
        <w:rPr>
          <w:rFonts w:ascii="Times New Roman" w:cs="Times New Roman" w:eastAsia="Times New Roman" w:hAnsi="Times New Roman"/>
          <w:sz w:val="18"/>
          <w:szCs w:val="18"/>
          <w:color w:val="auto"/>
        </w:rPr>
      </w:pPr>
    </w:p>
    <w:p>
      <w:pPr>
        <w:ind w:left="660" w:right="160" w:hanging="328"/>
        <w:spacing w:after="0" w:line="245"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northeast of Grapevine is Grapevine North, a 7,655-acre development area, which is currently used for agricultural purposes. Identified as a development area in the RWA, Grapevine North presents a significant opportunity for future development. Grapevine North may feature mixed-use community development similar to Grapevine at Tejon Ranch, or other development uses as appropriate based upon market conditions at the time.</w:t>
      </w:r>
    </w:p>
    <w:p>
      <w:pPr>
        <w:spacing w:after="0" w:line="5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Please refer to our Annual Report on Form 10-K for the year ended December 31, 2023, for a more detailed description of our active developments within the resort/residential real estate development segment.</w:t>
      </w:r>
    </w:p>
    <w:p>
      <w:pPr>
        <w:spacing w:after="0" w:line="40"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Our mineral resources segment generates revenues from oil and gas royalty leases, rock and aggregate mining leases, a lease with National Cement Company of California Inc., and water sales.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farming segment produces revenues from the sale of wine grapes, almonds, and pistachios.</w:t>
      </w:r>
    </w:p>
    <w:p>
      <w:pPr>
        <w:spacing w:after="0" w:line="200" w:lineRule="exact"/>
        <w:rPr>
          <w:sz w:val="20"/>
          <w:szCs w:val="20"/>
          <w:color w:val="auto"/>
        </w:rPr>
      </w:pPr>
    </w:p>
    <w:p>
      <w:pPr>
        <w:spacing w:after="0" w:line="36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81" w:right="4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auto"/>
        </w:rPr>
        <w:t>Lastly, the ranch operations segment consists of game management revenues and ancillary land uses such as grazing leases and filming.</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6EBF"/>
        </w:rPr>
        <w:t>Summary of First Quarter 2024 Performance</w:t>
      </w:r>
    </w:p>
    <w:p>
      <w:pPr>
        <w:spacing w:after="0" w:line="10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For the three months ended March 31, 2024, we had a net loss attributable to common stockholders of $914,000 compared to net income of $1,774,000 for the three months ended March 31, 2023. The primary driver of this decrease of $2,688,000 was our mineral resources segment. Net income from this segment decreased by $2,473,000 mainly due to lower water sales revenue resulting from heavy rainfall in California. Additionally, expenses in the resort/residential segment increased by $1,173,000 due to higher professional service fees incurred during the quarter. Partially offsetting the above unfavorable variances was $942,000 of tax benefits recorded during this quarter compared to $1,013,000 of tax provisions recorded over the comparative period.</w:t>
      </w:r>
    </w:p>
    <w:p>
      <w:pPr>
        <w:spacing w:after="0" w:line="6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This Management’s Discussion and Analysis of Financial Condition and Results of Operations provides a narrative discussion of our results of operations. It contains the results of operations for each reporting segment of the business and is followed by a discussion of our financial position. It is useful to read the reporting segment information in conjunction with Note 13 (Reporting Segments and Related Information) of the Notes to Unaudited Consolidated Financial Statements.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6EBF"/>
        </w:rPr>
        <w:t>Critical Accounting Estimates</w:t>
      </w:r>
    </w:p>
    <w:p>
      <w:pPr>
        <w:spacing w:after="0" w:line="94" w:lineRule="exact"/>
        <w:rPr>
          <w:sz w:val="20"/>
          <w:szCs w:val="20"/>
          <w:color w:val="auto"/>
        </w:rPr>
      </w:pPr>
    </w:p>
    <w:p>
      <w:pPr>
        <w:ind w:right="40"/>
        <w:spacing w:after="0" w:line="276" w:lineRule="auto"/>
        <w:rPr>
          <w:sz w:val="20"/>
          <w:szCs w:val="20"/>
          <w:color w:val="auto"/>
        </w:rPr>
      </w:pPr>
      <w:r>
        <w:rPr>
          <w:rFonts w:ascii="Times New Roman" w:cs="Times New Roman" w:eastAsia="Times New Roman" w:hAnsi="Times New Roman"/>
          <w:sz w:val="17"/>
          <w:szCs w:val="17"/>
          <w:color w:val="auto"/>
        </w:rPr>
        <w:t>The preparation of our interim financial statements in accordance with GAAP requires us to make estimates and judgments that affect the reported amounts for assets, liabilities, revenues and expenses, and related disclosure of contingent assets and liabilities. We consider an accounting estimate to be critical if:</w:t>
      </w:r>
    </w:p>
    <w:p>
      <w:pPr>
        <w:spacing w:after="0" w:line="1" w:lineRule="exact"/>
        <w:rPr>
          <w:sz w:val="20"/>
          <w:szCs w:val="20"/>
          <w:color w:val="auto"/>
        </w:rPr>
      </w:pPr>
    </w:p>
    <w:p>
      <w:pPr>
        <w:ind w:left="260" w:hanging="252"/>
        <w:spacing w:after="0"/>
        <w:tabs>
          <w:tab w:leader="none" w:pos="2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accounting estimate requires us to make assumptions about matters that were highly uncertain at the time the accounting estimate was made, and</w:t>
      </w:r>
    </w:p>
    <w:p>
      <w:pPr>
        <w:spacing w:after="0" w:line="9" w:lineRule="exact"/>
        <w:rPr>
          <w:rFonts w:ascii="Times New Roman" w:cs="Times New Roman" w:eastAsia="Times New Roman" w:hAnsi="Times New Roman"/>
          <w:sz w:val="18"/>
          <w:szCs w:val="18"/>
          <w:color w:val="auto"/>
        </w:rPr>
      </w:pPr>
    </w:p>
    <w:p>
      <w:pPr>
        <w:ind w:right="40" w:firstLine="8"/>
        <w:spacing w:after="0" w:line="252" w:lineRule="auto"/>
        <w:tabs>
          <w:tab w:leader="none" w:pos="2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estimates that are likely to occur from period to period, use of different estimates that we reasonably could have used in the current period, or would have a material impact on our financial condition or results of operations. On an ongoing basis, we evaluate our estimates, including those related to revenue recognition, impairment of long-lived assets, capitalization of costs, allocation of costs related to land sales and leases, stock compensation, and our future ability to utilize deferred tax assets.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6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2024, our critical accounting policies have not changed since the filing of our Annual Report on Form 10-K for the year ended December 31, 2023. Please refer to that filing for a description of our critical accounting policies. Please also refer to Note 1 (Basis of Presentation) in the Notes to Unaudited Consolidated Financial Statements in this report for newly adopted accounting principles.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6EBF"/>
        </w:rPr>
        <w:t>Results of Operations by Segment</w:t>
      </w:r>
    </w:p>
    <w:p>
      <w:pPr>
        <w:spacing w:after="0" w:line="108"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We evaluate the performance of our reporting segments separately, to monitor the different factors affecting financial results. Each reporting segment is subject to review and evaluation, as we monitor current market conditions, market opportunities, and available resources. The performance of each reporting segment is discussed below:</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6EBF"/>
              </w:rPr>
              <w:t>Real Estate – Commercial/Industrial:</w:t>
            </w: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453"/>
        </w:trPr>
        <w:tc>
          <w:tcPr>
            <w:tcW w:w="2880" w:type="dxa"/>
            <w:vAlign w:val="bottom"/>
            <w:tcBorders>
              <w:top w:val="single" w:sz="8" w:color="006EBF"/>
            </w:tcBorders>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6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440" w:type="dxa"/>
            <w:vAlign w:val="bottom"/>
          </w:tcPr>
          <w:p>
            <w:pPr>
              <w:spacing w:after="0"/>
              <w:rPr>
                <w:sz w:val="24"/>
                <w:szCs w:val="24"/>
                <w:color w:val="auto"/>
              </w:rPr>
            </w:pPr>
          </w:p>
        </w:tc>
        <w:tc>
          <w:tcPr>
            <w:tcW w:w="1880" w:type="dxa"/>
            <w:vAlign w:val="bottom"/>
            <w:gridSpan w:val="3"/>
          </w:tcPr>
          <w:p>
            <w:pPr>
              <w:ind w:left="1060"/>
              <w:spacing w:after="0"/>
              <w:rPr>
                <w:sz w:val="20"/>
                <w:szCs w:val="20"/>
                <w:color w:val="auto"/>
              </w:rPr>
            </w:pPr>
            <w:r>
              <w:rPr>
                <w:rFonts w:ascii="Times New Roman" w:cs="Times New Roman" w:eastAsia="Times New Roman" w:hAnsi="Times New Roman"/>
                <w:sz w:val="18"/>
                <w:szCs w:val="18"/>
                <w:color w:val="auto"/>
              </w:rPr>
              <w:t>Change</w:t>
            </w:r>
          </w:p>
        </w:tc>
        <w:tc>
          <w:tcPr>
            <w:tcW w:w="1240" w:type="dxa"/>
            <w:vAlign w:val="bottom"/>
          </w:tcPr>
          <w:p>
            <w:pPr>
              <w:spacing w:after="0"/>
              <w:rPr>
                <w:sz w:val="24"/>
                <w:szCs w:val="24"/>
                <w:color w:val="auto"/>
              </w:rPr>
            </w:pPr>
          </w:p>
        </w:tc>
      </w:tr>
      <w:tr>
        <w:trPr>
          <w:trHeight w:val="223"/>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3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Commercial/industrial revenues</w:t>
            </w: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9"/>
        </w:trPr>
        <w:tc>
          <w:tcPr>
            <w:tcW w:w="4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Pastoria Energy Facility</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4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TRCC Leasing</w:t>
            </w: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30"/>
        </w:trPr>
        <w:tc>
          <w:tcPr>
            <w:tcW w:w="4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TRCC management fees and reimbursements</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r>
      <w:tr>
        <w:trPr>
          <w:trHeight w:val="230"/>
        </w:trPr>
        <w:tc>
          <w:tcPr>
            <w:tcW w:w="4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Commercial leases</w:t>
            </w: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29"/>
        </w:trPr>
        <w:tc>
          <w:tcPr>
            <w:tcW w:w="4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Communication leases</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30"/>
        </w:trPr>
        <w:tc>
          <w:tcPr>
            <w:tcW w:w="40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Landscaping and other</w:t>
            </w: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49 %</w:t>
            </w:r>
          </w:p>
        </w:tc>
      </w:tr>
      <w:tr>
        <w:trPr>
          <w:trHeight w:val="223"/>
        </w:trPr>
        <w:tc>
          <w:tcPr>
            <w:tcW w:w="4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commercial/industrial revenues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2,945</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2,676</w:t>
            </w:r>
          </w:p>
        </w:tc>
        <w:tc>
          <w:tcPr>
            <w:tcW w:w="16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23"/>
        </w:trPr>
        <w:tc>
          <w:tcPr>
            <w:tcW w:w="4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commercial/industrial expenses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1,927</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1,695</w:t>
            </w:r>
          </w:p>
        </w:tc>
        <w:tc>
          <w:tcPr>
            <w:tcW w:w="1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48"/>
        </w:trPr>
        <w:tc>
          <w:tcPr>
            <w:tcW w:w="4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from commercial/industrial</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1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9" w:name="page30"/>
    <w:bookmarkEnd w:id="29"/>
    <w:p>
      <w:pPr>
        <w:ind w:left="320" w:hanging="312"/>
        <w:spacing w:after="0"/>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Commercial/industrial real estate development segment revenues were $2,945,000 for the three months ended March 31, 2024, an increase of</w:t>
      </w:r>
    </w:p>
    <w:p>
      <w:pPr>
        <w:spacing w:after="0" w:line="27" w:lineRule="exact"/>
        <w:rPr>
          <w:rFonts w:ascii="Times New Roman" w:cs="Times New Roman" w:eastAsia="Times New Roman" w:hAnsi="Times New Roman"/>
          <w:sz w:val="18"/>
          <w:szCs w:val="18"/>
          <w:color w:val="auto"/>
        </w:rPr>
      </w:pPr>
    </w:p>
    <w:p>
      <w:pPr>
        <w:ind w:left="340" w:right="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$269,000, or 10%, from $2,676,000 for the three months ended March 31, 2023. The increase was primarily attributable to additional landscaping revenues of $196,000 due to an increase in out-of-scope services, such as clean-up and repairs, caused by the heavy winter storms. TRCC management fees and reimbursements also increased by $110,000 due to higher management fees of $95,000 and higher development fees of $65,000 recognized for TRC-MRC5, LLC joint venture, partially offset by lower tenant reimbursements revenue of $50,000.</w:t>
      </w:r>
    </w:p>
    <w:p>
      <w:pPr>
        <w:spacing w:after="0" w:line="5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Commercial/industrial real estate development segment expenses were $1,927,000 for the three months ended March 31, 2024, an increase of</w:t>
      </w:r>
    </w:p>
    <w:p>
      <w:pPr>
        <w:spacing w:after="0" w:line="27" w:lineRule="exact"/>
        <w:rPr>
          <w:rFonts w:ascii="Times New Roman" w:cs="Times New Roman" w:eastAsia="Times New Roman" w:hAnsi="Times New Roman"/>
          <w:sz w:val="18"/>
          <w:szCs w:val="18"/>
          <w:color w:val="auto"/>
        </w:rPr>
      </w:pPr>
    </w:p>
    <w:p>
      <w:pPr>
        <w:ind w:left="340" w:right="1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$232,000, or 14%, from $1,695,000 for the three months ended March 31, 2023. The increase was primarily attributable to an increase in payroll and stock compensation expense of $115,000 and an increase in insurance cost of $85,000 over the comparative period.</w:t>
      </w:r>
    </w:p>
    <w:p>
      <w:pPr>
        <w:spacing w:after="0" w:line="6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logistics operators currently located within TRCC have demonstrated success in serving all of California and the western region of the United States, and we showcase their success in our marketing efforts. We expect to continue to focus our marketing strategy for TRCC on the significant labor and logistical benefits of our site, the pro-business approach of Kern County, and the demonstrated success of the current tenants and owners within our development. Our location fits within the logistics model that many companies are using, which favors large, centralized distribution facilities which have been strategically located to maximize the balance of inbound and outbound efficiencies, rather than many decentralized smaller distribution centers. The world-class logistics operators located within TRCC have demonstrated success through utilization of this model. With access to markets of over 40 million people for next-day delivery service, they are also demonstrating success with e-commerce fulfillment.</w:t>
      </w:r>
    </w:p>
    <w:p>
      <w:pPr>
        <w:spacing w:after="0" w:line="67"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Our FTZ designation allows businesses to secure the many benefits and cost reductions associated with streamlined movement of goods in and out of the trade zone. This FTZ designation is further supplemented by the AKIP adopted by the Kern County Board of Supervisors. AKIP aims to expand and enhance Kern County's competitiveness by taking affirmative steps to attract new businesses and to encourage the growth and resilience of existing businesses. AKIP provides incentives, such as assistance in obtaining tax incentives, building supporting infrastructure, and workforce development.</w:t>
      </w:r>
    </w:p>
    <w:p>
      <w:pPr>
        <w:spacing w:after="0" w:line="45" w:lineRule="exact"/>
        <w:rPr>
          <w:sz w:val="20"/>
          <w:szCs w:val="20"/>
          <w:color w:val="auto"/>
        </w:rPr>
      </w:pPr>
    </w:p>
    <w:p>
      <w:pPr>
        <w:ind w:right="140"/>
        <w:spacing w:after="0" w:line="277" w:lineRule="auto"/>
        <w:rPr>
          <w:sz w:val="20"/>
          <w:szCs w:val="20"/>
          <w:color w:val="auto"/>
        </w:rPr>
      </w:pPr>
      <w:r>
        <w:rPr>
          <w:rFonts w:ascii="Times New Roman" w:cs="Times New Roman" w:eastAsia="Times New Roman" w:hAnsi="Times New Roman"/>
          <w:sz w:val="17"/>
          <w:szCs w:val="17"/>
          <w:color w:val="auto"/>
        </w:rPr>
        <w:t>We believe the FTZ and AKIP, along with our ability to provide fully entitled, shovel-ready land parcels to support buildings of any size, including buildings one million square feet or larger, can provide us with a potential marketing advantage. Our marketing efforts target the Inland Empire region of Southern California, the Santa Clarita Valley of northern Los Angeles County, the northern part of the San Fernando Valley (due to the limited availability of new product and high real estate costs in these locations), and the San Joaquin Valley of California. We continue to analyze the market and evaluate expansions of industrial buildings for lease either on our own or in partnerships, as we have done with the buildings developed within our joint ventures.</w:t>
      </w:r>
    </w:p>
    <w:p>
      <w:pPr>
        <w:spacing w:after="0" w:line="4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A potential disadvantage to our development strategy is our distance from the ports of Los Angeles and Long Beach in comparison to the warehouse/distribution centers located in the Inland Empire, a large industrial area located east of Los Angeles, which continues its expansion eastward beyond Riverside and San Bernardino, to include Perris, Moreno Valley, and Beaumont. As development in the Inland Empire continues to move east and farther away from the ports, the potential disadvantage of our distance from the ports is being mitigated. Demand for large distribution facilities is continuing to drive development farther east in a search for large, entitled parcels.</w:t>
      </w:r>
    </w:p>
    <w:p>
      <w:pPr>
        <w:spacing w:after="0" w:line="62"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During the quarter ended March 31, 2024, vacancy rates in the Inland Empire climbed 110 basis points to 6.2% and net absorption retreated with 2.7 million square feet of negative demand. Average asking rents declined for the third consecutive quarter. The San Fernando Valley and Ventura County industrial markets continue to see tight conditions, as vacancy and availability remained at historically low numbers. Vacancy was unchanged, and the overall net absorption slightly outpaced new supply. See below for the vacancy rates and average asking rent of Inland Empire, San Fernando Valley and Ventura County.</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340" w:type="dxa"/>
            <w:vAlign w:val="bottom"/>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gridSpan w:val="2"/>
          </w:tcPr>
          <w:p>
            <w:pPr>
              <w:ind w:left="220"/>
              <w:spacing w:after="0" w:line="198" w:lineRule="exact"/>
              <w:rPr>
                <w:sz w:val="20"/>
                <w:szCs w:val="20"/>
                <w:color w:val="auto"/>
              </w:rPr>
            </w:pPr>
            <w:r>
              <w:rPr>
                <w:rFonts w:ascii="Times New Roman" w:cs="Times New Roman" w:eastAsia="Times New Roman" w:hAnsi="Times New Roman"/>
                <w:sz w:val="18"/>
                <w:szCs w:val="18"/>
                <w:color w:val="auto"/>
              </w:rPr>
              <w:t>December 31,</w:t>
            </w:r>
          </w:p>
        </w:tc>
        <w:tc>
          <w:tcPr>
            <w:tcW w:w="148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jc w:val="right"/>
              <w:ind w:right="110"/>
              <w:spacing w:after="0" w:line="198" w:lineRule="exact"/>
              <w:rPr>
                <w:sz w:val="20"/>
                <w:szCs w:val="20"/>
                <w:color w:val="auto"/>
              </w:rPr>
            </w:pPr>
            <w:r>
              <w:rPr>
                <w:rFonts w:ascii="Times New Roman" w:cs="Times New Roman" w:eastAsia="Times New Roman" w:hAnsi="Times New Roman"/>
                <w:sz w:val="18"/>
                <w:szCs w:val="18"/>
                <w:color w:val="auto"/>
              </w:rPr>
              <w:t>December 31,</w:t>
            </w:r>
          </w:p>
        </w:tc>
      </w:tr>
      <w:tr>
        <w:trPr>
          <w:trHeight w:val="234"/>
        </w:trPr>
        <w:tc>
          <w:tcPr>
            <w:tcW w:w="5340" w:type="dxa"/>
            <w:vAlign w:val="bottom"/>
          </w:tcPr>
          <w:p>
            <w:pPr>
              <w:spacing w:after="0"/>
              <w:rPr>
                <w:sz w:val="20"/>
                <w:szCs w:val="20"/>
                <w:color w:val="auto"/>
              </w:rPr>
            </w:pPr>
          </w:p>
        </w:tc>
        <w:tc>
          <w:tcPr>
            <w:tcW w:w="14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March 31, 2024</w:t>
            </w: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00" w:type="dxa"/>
            <w:vAlign w:val="bottom"/>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March 31, 2024</w:t>
            </w:r>
          </w:p>
        </w:tc>
        <w:tc>
          <w:tcPr>
            <w:tcW w:w="14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2023</w:t>
            </w:r>
          </w:p>
        </w:tc>
      </w:tr>
      <w:tr>
        <w:trPr>
          <w:trHeight w:val="318"/>
        </w:trPr>
        <w:tc>
          <w:tcPr>
            <w:tcW w:w="5340" w:type="dxa"/>
            <w:vAlign w:val="bottom"/>
          </w:tcPr>
          <w:p>
            <w:pPr>
              <w:spacing w:after="0"/>
              <w:rPr>
                <w:sz w:val="24"/>
                <w:szCs w:val="24"/>
                <w:color w:val="auto"/>
              </w:rPr>
            </w:pPr>
          </w:p>
        </w:tc>
        <w:tc>
          <w:tcPr>
            <w:tcW w:w="3000" w:type="dxa"/>
            <w:vAlign w:val="bottom"/>
            <w:gridSpan w:val="3"/>
          </w:tcPr>
          <w:p>
            <w:pPr>
              <w:ind w:left="900"/>
              <w:spacing w:after="0"/>
              <w:rPr>
                <w:sz w:val="20"/>
                <w:szCs w:val="20"/>
                <w:color w:val="auto"/>
              </w:rPr>
            </w:pPr>
            <w:r>
              <w:rPr>
                <w:rFonts w:ascii="Times New Roman" w:cs="Times New Roman" w:eastAsia="Times New Roman" w:hAnsi="Times New Roman"/>
                <w:sz w:val="18"/>
                <w:szCs w:val="18"/>
                <w:b w:val="1"/>
                <w:bCs w:val="1"/>
                <w:color w:val="auto"/>
              </w:rPr>
              <w:t>Vacancy Rates</w:t>
            </w:r>
          </w:p>
        </w:tc>
        <w:tc>
          <w:tcPr>
            <w:tcW w:w="2900" w:type="dxa"/>
            <w:vAlign w:val="bottom"/>
            <w:gridSpan w:val="2"/>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Average Asking Rent</w:t>
            </w:r>
          </w:p>
        </w:tc>
      </w:tr>
      <w:tr>
        <w:trPr>
          <w:trHeight w:val="230"/>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Inland Empire</w:t>
            </w:r>
          </w:p>
        </w:tc>
        <w:tc>
          <w:tcPr>
            <w:tcW w:w="148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6.2%</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5.1%</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$1.40</w:t>
            </w:r>
          </w:p>
        </w:tc>
        <w:tc>
          <w:tcPr>
            <w:tcW w:w="14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$1.48</w:t>
            </w:r>
          </w:p>
        </w:tc>
      </w:tr>
      <w:tr>
        <w:trPr>
          <w:trHeight w:val="234"/>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San Fernando Valley and Ventura County</w:t>
            </w:r>
          </w:p>
        </w:tc>
        <w:tc>
          <w:tcPr>
            <w:tcW w:w="14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1.5%</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1.5%</w:t>
            </w:r>
          </w:p>
        </w:tc>
        <w:tc>
          <w:tcPr>
            <w:tcW w:w="100" w:type="dxa"/>
            <w:vAlign w:val="bottom"/>
          </w:tcPr>
          <w:p>
            <w:pPr>
              <w:spacing w:after="0"/>
              <w:rPr>
                <w:sz w:val="20"/>
                <w:szCs w:val="20"/>
                <w:color w:val="auto"/>
              </w:rPr>
            </w:pPr>
          </w:p>
        </w:tc>
        <w:tc>
          <w:tcPr>
            <w:tcW w:w="148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1.54</w:t>
            </w:r>
          </w:p>
        </w:tc>
        <w:tc>
          <w:tcPr>
            <w:tcW w:w="142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1.54</w:t>
            </w:r>
          </w:p>
        </w:tc>
      </w:tr>
    </w:tbl>
    <w:p>
      <w:pPr>
        <w:spacing w:after="0" w:line="16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Industrial users seeking larger spaces are continuing to go further north into neighboring Kern County, and particularly, TRCC, which has attracted increased attention as market conditions continue to tighten. Additionally, TRCC is in a position to capture tenant awareness due to our ability to provide a competitive alternative for users in the Inland Empire and the Santa Clarita Valley.</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0" w:name="page31"/>
    <w:bookmarkEnd w:id="30"/>
    <w:p>
      <w:pPr>
        <w:ind w:right="140"/>
        <w:spacing w:after="0" w:line="266" w:lineRule="auto"/>
        <w:rPr>
          <w:sz w:val="20"/>
          <w:szCs w:val="20"/>
          <w:color w:val="auto"/>
        </w:rPr>
      </w:pPr>
      <w:r>
        <w:rPr>
          <w:rFonts w:ascii="Times New Roman" w:cs="Times New Roman" w:eastAsia="Times New Roman" w:hAnsi="Times New Roman"/>
          <w:sz w:val="18"/>
          <w:szCs w:val="18"/>
          <w:color w:val="auto"/>
        </w:rPr>
        <w:t>We expect our commercial/industrial real estate development segment to continue to experience costs, net of amounts capitalized, primarily related to professional service fees, marketing costs, planning costs, and staffing costs, as we continue to pursue development opportunities. From a macroeconomic perspective, the tightening of capital markets may cause a near-term slowdown in new commercial real estate developments.</w:t>
      </w:r>
    </w:p>
    <w:p>
      <w:pPr>
        <w:spacing w:after="0" w:line="4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actual timing and completion of development is difficult to predict, due to the uncertainties of the market. Infrastructure development and marketing activities and costs could continue to increase over several years, as we develop our land holdings. We will also continue to evaluate land resources to determine the highest and best uses for our land holdings. Future land sales are dependent on market circumstances and specific opportunities. Our goal in the future is to increase land value and create future revenue growth through planning and development of commercial and industrial properties.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6EBF"/>
        </w:rPr>
        <w:t>Real Estate – Resort/Residential:</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in the preliminary stages of property development for this segment; hence, no revenues or profits are attributed to this segment.</w:t>
      </w:r>
    </w:p>
    <w:p>
      <w:pPr>
        <w:spacing w:after="0" w:line="104"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Resort/residential real estate development segment expenses were $1,561,000 for the three months ended March 31, 2024, an increase of $1,173,000 from $388,000 for the three months ended March 31, 2023. This increase is primarily attributable to an additional $1,251,000 related to professional service fees and planning costs related to capital efforts tied to our master planned communities.</w:t>
      </w:r>
    </w:p>
    <w:p>
      <w:pPr>
        <w:spacing w:after="0" w:line="54"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Our long-term business plan of developing the communities of MV, Centennial, and Grapevine remains unchanged. Long-term macro fundamentals, primarily California's large population and household formation, will support housing demand in our region. California also has a significant documented housing shortage, which we believe our communities will help ease. A majority the expenditures and capital investment to be incurred within our resort/residential real estate segment are expected to continue to focus on the mixed-use master planned communities of Centennial, Grapevine, and Mountain Village.</w:t>
      </w:r>
    </w:p>
    <w:p>
      <w:pPr>
        <w:spacing w:after="0" w:line="48"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As we move forward with our master planned communities, we expect to explore funding opportunities for the future development of our projects. Such funding opportunities could come from a variety of sources, such as joint ventures with financial partners, debt financing, or the Company’s issuance of additional common stock.</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6EBF"/>
              </w:rPr>
              <w:t>Mineral Resources:</w:t>
            </w:r>
          </w:p>
        </w:tc>
        <w:tc>
          <w:tcPr>
            <w:tcW w:w="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466"/>
        </w:trPr>
        <w:tc>
          <w:tcPr>
            <w:tcW w:w="1500" w:type="dxa"/>
            <w:vAlign w:val="bottom"/>
            <w:tcBorders>
              <w:top w:val="single" w:sz="8" w:color="006EBF"/>
            </w:tcBorders>
          </w:tcPr>
          <w:p>
            <w:pPr>
              <w:spacing w:after="0"/>
              <w:rPr>
                <w:sz w:val="24"/>
                <w:szCs w:val="24"/>
                <w:color w:val="auto"/>
              </w:rPr>
            </w:pPr>
          </w:p>
        </w:tc>
        <w:tc>
          <w:tcPr>
            <w:tcW w:w="2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32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460" w:type="dxa"/>
            <w:vAlign w:val="bottom"/>
          </w:tcPr>
          <w:p>
            <w:pPr>
              <w:spacing w:after="0"/>
              <w:rPr>
                <w:sz w:val="24"/>
                <w:szCs w:val="24"/>
                <w:color w:val="auto"/>
              </w:rPr>
            </w:pPr>
          </w:p>
        </w:tc>
        <w:tc>
          <w:tcPr>
            <w:tcW w:w="198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rPr>
              <w:t>Change</w:t>
            </w:r>
          </w:p>
        </w:tc>
        <w:tc>
          <w:tcPr>
            <w:tcW w:w="1300" w:type="dxa"/>
            <w:vAlign w:val="bottom"/>
          </w:tcPr>
          <w:p>
            <w:pPr>
              <w:spacing w:after="0"/>
              <w:rPr>
                <w:sz w:val="24"/>
                <w:szCs w:val="24"/>
                <w:color w:val="auto"/>
              </w:rPr>
            </w:pPr>
          </w:p>
        </w:tc>
      </w:tr>
      <w:tr>
        <w:trPr>
          <w:trHeight w:val="223"/>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38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top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Mineral resources revenues</w:t>
            </w:r>
          </w:p>
        </w:tc>
        <w:tc>
          <w:tcPr>
            <w:tcW w:w="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0"/>
        </w:trPr>
        <w:tc>
          <w:tcPr>
            <w:tcW w:w="3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Oil and gas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30"/>
        </w:trPr>
        <w:tc>
          <w:tcPr>
            <w:tcW w:w="38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Cement</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r>
      <w:tr>
        <w:trPr>
          <w:trHeight w:val="229"/>
        </w:trPr>
        <w:tc>
          <w:tcPr>
            <w:tcW w:w="3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Rock aggregate</w:t>
            </w: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38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Exploration leases</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30"/>
        </w:trPr>
        <w:tc>
          <w:tcPr>
            <w:tcW w:w="3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Water Sales</w:t>
            </w: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(3,736)</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30"/>
        </w:trPr>
        <w:tc>
          <w:tcPr>
            <w:tcW w:w="38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Reimbursables and other</w:t>
            </w: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23"/>
        </w:trPr>
        <w:tc>
          <w:tcPr>
            <w:tcW w:w="3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mineral resources revenues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2,489</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(4,423)</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23"/>
        </w:trPr>
        <w:tc>
          <w:tcPr>
            <w:tcW w:w="38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mineral resources expenses</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2,116</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4,066</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(1,950)</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48"/>
        </w:trPr>
        <w:tc>
          <w:tcPr>
            <w:tcW w:w="3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from mineral resources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(2,473)</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0"/>
        </w:trPr>
        <w:tc>
          <w:tcPr>
            <w:tcW w:w="150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ind w:left="340" w:right="80" w:hanging="332"/>
        <w:spacing w:after="0" w:line="261" w:lineRule="auto"/>
        <w:tabs>
          <w:tab w:leader="none" w:pos="3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Mineral resources segment revenues were $2,489,000 for the three months ended March 31, 2024, a decrease of $4,423,000, or 64%, from $6,912,000 for the three months ended March 31, 2023. The reduction in revenues is primarily attributed to a decline in water sales revenue of $3,736,000 due to the heavy rainfalls in California, which severely limited water sales opportunities. Reimbursable revenues also decreased $767,000 due to mineral resources taxes reassessment for this segment.</w:t>
      </w:r>
    </w:p>
    <w:p>
      <w:pPr>
        <w:spacing w:after="0" w:line="71" w:lineRule="exact"/>
        <w:rPr>
          <w:rFonts w:ascii="Times New Roman" w:cs="Times New Roman" w:eastAsia="Times New Roman" w:hAnsi="Times New Roman"/>
          <w:sz w:val="18"/>
          <w:szCs w:val="18"/>
          <w:color w:val="auto"/>
        </w:rPr>
      </w:pPr>
    </w:p>
    <w:p>
      <w:pPr>
        <w:jc w:val="both"/>
        <w:ind w:left="340" w:right="40" w:hanging="332"/>
        <w:spacing w:after="0" w:line="266" w:lineRule="auto"/>
        <w:tabs>
          <w:tab w:leader="none" w:pos="3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Mineral resources segment expenses were $2,116,000 for the three months ended March 31, 2024, a decrease of $1,950,000, or 48%, from $4,066,000 for the three months ended March 31, 2023. The decrease is primarily due to lower water cost of sales recognized of $1,625,000 when compared to the previous year.</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1" w:name="page32"/>
    <w:bookmarkEnd w:id="31"/>
    <w:p>
      <w:pPr>
        <w:ind w:right="140"/>
        <w:spacing w:after="0" w:line="266" w:lineRule="auto"/>
        <w:rPr>
          <w:sz w:val="20"/>
          <w:szCs w:val="20"/>
          <w:color w:val="auto"/>
        </w:rPr>
      </w:pPr>
      <w:r>
        <w:rPr>
          <w:rFonts w:ascii="Times New Roman" w:cs="Times New Roman" w:eastAsia="Times New Roman" w:hAnsi="Times New Roman"/>
          <w:sz w:val="18"/>
          <w:szCs w:val="18"/>
          <w:color w:val="auto"/>
        </w:rPr>
        <w:t>As anticipated changes arise in the future related to groundwater management in California, such as limits on groundwater pumping, we believe our water assets, including water banking operations, ground water recharge programs, and access to water contracts like those we have purchased in the past, will become even more important and valuable in servicing our projects and providing opportunities for water sales to third-parties.</w:t>
      </w:r>
    </w:p>
    <w:p>
      <w:pPr>
        <w:spacing w:after="0" w:line="108"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Prices for oil and natural gas fluctuate in response to relatively minor changes in supply and demand, market uncertainty and a variety of additional factors that are beyond our control, such as: changes in domestic and global supply and demand, domestic and global inventory levels, political and regulatory conditions in California, and international disputes. Production has seen an overall decline in California as a result of regulatory conditions.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6EBF"/>
        </w:rPr>
        <w:t>Farming:</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32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460" w:type="dxa"/>
            <w:vAlign w:val="bottom"/>
          </w:tcPr>
          <w:p>
            <w:pPr>
              <w:spacing w:after="0"/>
              <w:rPr>
                <w:sz w:val="20"/>
                <w:szCs w:val="20"/>
                <w:color w:val="auto"/>
              </w:rPr>
            </w:pPr>
          </w:p>
        </w:tc>
        <w:tc>
          <w:tcPr>
            <w:tcW w:w="198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rPr>
              <w:t>Change</w:t>
            </w:r>
          </w:p>
        </w:tc>
        <w:tc>
          <w:tcPr>
            <w:tcW w:w="1300" w:type="dxa"/>
            <w:vAlign w:val="bottom"/>
          </w:tcPr>
          <w:p>
            <w:pPr>
              <w:spacing w:after="0"/>
              <w:rPr>
                <w:sz w:val="20"/>
                <w:szCs w:val="20"/>
                <w:color w:val="auto"/>
              </w:rPr>
            </w:pPr>
          </w:p>
        </w:tc>
      </w:tr>
      <w:tr>
        <w:trPr>
          <w:trHeight w:val="223"/>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38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top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Farming revenues</w:t>
            </w:r>
          </w:p>
        </w:tc>
        <w:tc>
          <w:tcPr>
            <w:tcW w:w="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29"/>
        </w:trPr>
        <w:tc>
          <w:tcPr>
            <w:tcW w:w="3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Almonds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30"/>
        </w:trPr>
        <w:tc>
          <w:tcPr>
            <w:tcW w:w="3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Pistachios</w:t>
            </w:r>
          </w:p>
        </w:tc>
        <w:tc>
          <w:tcPr>
            <w:tcW w:w="38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9"/>
        </w:trPr>
        <w:tc>
          <w:tcPr>
            <w:tcW w:w="3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Wine grapes</w:t>
            </w:r>
          </w:p>
        </w:tc>
        <w:tc>
          <w:tcPr>
            <w:tcW w:w="3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9"/>
        </w:trPr>
        <w:tc>
          <w:tcPr>
            <w:tcW w:w="3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Hay</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30"/>
        </w:trPr>
        <w:tc>
          <w:tcPr>
            <w:tcW w:w="3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23"/>
        </w:trPr>
        <w:tc>
          <w:tcPr>
            <w:tcW w:w="3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farming revenues</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3"/>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farming expenses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23"/>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 from farming</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45 %</w:t>
            </w:r>
          </w:p>
        </w:tc>
      </w:tr>
      <w:tr>
        <w:trPr>
          <w:trHeight w:val="21"/>
        </w:trPr>
        <w:tc>
          <w:tcPr>
            <w:tcW w:w="38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340" w:right="260" w:hanging="332"/>
        <w:spacing w:after="0" w:line="266" w:lineRule="auto"/>
        <w:tabs>
          <w:tab w:leader="none" w:pos="3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Farming segment revenues were $865,000 for the three months ended March 31, 2024, a decrease of $320,000, or 27%, from $1,185,000 during the same period in 2023. The decrease is mainly caused by declines in other revenues - farming water sales of $212,000 decline due to higher level of water availability, and hay sales revenue fell $119,000 following the Company's decision to ramp down the hay business.</w:t>
      </w:r>
    </w:p>
    <w:p>
      <w:pPr>
        <w:spacing w:after="0" w:line="67" w:lineRule="exact"/>
        <w:rPr>
          <w:rFonts w:ascii="Times New Roman" w:cs="Times New Roman" w:eastAsia="Times New Roman" w:hAnsi="Times New Roman"/>
          <w:sz w:val="18"/>
          <w:szCs w:val="18"/>
          <w:color w:val="auto"/>
        </w:rPr>
      </w:pPr>
    </w:p>
    <w:p>
      <w:pPr>
        <w:ind w:left="340" w:right="240" w:hanging="332"/>
        <w:spacing w:after="0" w:line="282" w:lineRule="auto"/>
        <w:tabs>
          <w:tab w:leader="none" w:pos="3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Farming segment expenses were $2,067,000 for the three months ended March 31, 2024, an increase of $54,000, or 3%, from $2,013,000 during the same period in 2023.</w:t>
      </w:r>
    </w:p>
    <w:p>
      <w:pPr>
        <w:spacing w:after="0" w:line="40"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Our almond, pistachio, and wine grape crop sales are highly seasonal, with most of our sales occurring during the third and fourth quarters. Each year, almonds and pistachios are sold at market prices, while grapes are sold to wineries at contracted prices. Higher anticipated 2024 California state almond production is anticipated to have an adverse effect on selling prices throughout 2024. It is too early in the production cycle for 2024 to have a subjective estimate of potential production for almonds, grapes, and pistachios.</w:t>
      </w:r>
    </w:p>
    <w:p>
      <w:pPr>
        <w:spacing w:after="0" w:line="5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Weather conditions can also impact the number of tree and vine dormant hours, which are integral to tree and vine growth. Farmers in California faced a warm winter negatively impacting dormant hours, which can impact production especially within pistachios. Late winter and early spring rainstorms impacted the timing of various farming activities such as pesticide sprays, any impact to production will not be known until later in the summer. In addition, higher cultural and financing costs and a reduced bloom cycle with highly compromised bee flight hours created more adversity for farmers. The abundant rain and snow have vastly improved the water situation, while shipping logistics continue to improve.</w:t>
      </w:r>
    </w:p>
    <w:p>
      <w:pPr>
        <w:spacing w:after="0" w:line="4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Labor costs, both internal and through labor contractors, continue to increase and the Company expects this trend to continue over the foreseeable future. The Company utilizes external labor contractors, as necessary, for large projects, such as pruning and harvesting, as a way to manage our labor needs. From a broader inflationary standpoint, the Company is seeing, and will continue to see, an increase in production costs, most notably chemicals such as herbicides and pesticides, and fuel costs.</w:t>
      </w:r>
    </w:p>
    <w:p>
      <w:pPr>
        <w:spacing w:after="0" w:line="5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Lastly, the impact of state ground water management laws on new plantings and continuing crop production remains unknown. Water delivery and water availability continues to be a long-term concern within California. Any limitation of delivery of SWP water, and the absence of available alternatives during drought periods, could potentially cause permanent damage to orchards and vineyards throughout California. While this could impact us, we believe we have sufficient water resources available to meet our requirements for the next crop year.</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07"/>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6EBF"/>
              </w:rPr>
              <w:t>Ranch Operations:</w:t>
            </w:r>
          </w:p>
        </w:tc>
        <w:tc>
          <w:tcPr>
            <w:tcW w:w="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77"/>
        </w:trPr>
        <w:tc>
          <w:tcPr>
            <w:tcW w:w="1480" w:type="dxa"/>
            <w:vAlign w:val="bottom"/>
            <w:tcBorders>
              <w:top w:val="single" w:sz="8" w:color="006EBF"/>
            </w:tcBorders>
          </w:tcPr>
          <w:p>
            <w:pPr>
              <w:spacing w:after="0"/>
              <w:rPr>
                <w:sz w:val="24"/>
                <w:szCs w:val="24"/>
                <w:color w:val="auto"/>
              </w:rPr>
            </w:pPr>
          </w:p>
        </w:tc>
        <w:tc>
          <w:tcPr>
            <w:tcW w:w="2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32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460" w:type="dxa"/>
            <w:vAlign w:val="bottom"/>
          </w:tcPr>
          <w:p>
            <w:pPr>
              <w:spacing w:after="0"/>
              <w:rPr>
                <w:sz w:val="24"/>
                <w:szCs w:val="24"/>
                <w:color w:val="auto"/>
              </w:rPr>
            </w:pPr>
          </w:p>
        </w:tc>
        <w:tc>
          <w:tcPr>
            <w:tcW w:w="198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rPr>
              <w:t>Change</w:t>
            </w:r>
          </w:p>
        </w:tc>
        <w:tc>
          <w:tcPr>
            <w:tcW w:w="1300" w:type="dxa"/>
            <w:vAlign w:val="bottom"/>
          </w:tcPr>
          <w:p>
            <w:pPr>
              <w:spacing w:after="0"/>
              <w:rPr>
                <w:sz w:val="24"/>
                <w:szCs w:val="24"/>
                <w:color w:val="auto"/>
              </w:rPr>
            </w:pPr>
          </w:p>
        </w:tc>
      </w:tr>
      <w:tr>
        <w:trPr>
          <w:trHeight w:val="223"/>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38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top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Ranch Operations revenues</w:t>
            </w:r>
          </w:p>
        </w:tc>
        <w:tc>
          <w:tcPr>
            <w:tcW w:w="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29"/>
        </w:trPr>
        <w:tc>
          <w:tcPr>
            <w:tcW w:w="3800" w:type="dxa"/>
            <w:vAlign w:val="bottom"/>
            <w:gridSpan w:val="2"/>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Game management and other </w:t>
            </w:r>
            <w:r>
              <w:rPr>
                <w:rFonts w:ascii="Times New Roman" w:cs="Times New Roman" w:eastAsia="Times New Roman" w:hAnsi="Times New Roman"/>
                <w:sz w:val="23"/>
                <w:szCs w:val="23"/>
                <w:color w:val="auto"/>
                <w:vertAlign w:val="superscript"/>
              </w:rPr>
              <w:t>1</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29"/>
        </w:trPr>
        <w:tc>
          <w:tcPr>
            <w:tcW w:w="38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Grazing</w:t>
            </w: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23"/>
        </w:trPr>
        <w:tc>
          <w:tcPr>
            <w:tcW w:w="3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Ranch Operations revenues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3"/>
        </w:trPr>
        <w:tc>
          <w:tcPr>
            <w:tcW w:w="38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Ranch Operations expenses</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48"/>
        </w:trPr>
        <w:tc>
          <w:tcPr>
            <w:tcW w:w="3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 income from Ranch Operations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3" w:lineRule="exact"/>
        <w:rPr>
          <w:sz w:val="20"/>
          <w:szCs w:val="20"/>
          <w:color w:val="auto"/>
        </w:rPr>
      </w:pPr>
    </w:p>
    <w:p>
      <w:pPr>
        <w:ind w:left="20" w:right="580" w:firstLine="6"/>
        <w:spacing w:after="0" w:line="210" w:lineRule="auto"/>
        <w:tabs>
          <w:tab w:leader="none" w:pos="113" w:val="left"/>
        </w:tabs>
        <w:numPr>
          <w:ilvl w:val="1"/>
          <w:numId w:val="2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Game management and other revenues consist of revenues from hunting, filming, High Desert Hunt Club (a premier upland bird hunting club), and other ancillary activities.</w:t>
      </w:r>
    </w:p>
    <w:p>
      <w:pPr>
        <w:spacing w:after="0" w:line="163" w:lineRule="exact"/>
        <w:rPr>
          <w:rFonts w:ascii="Times New Roman" w:cs="Times New Roman" w:eastAsia="Times New Roman" w:hAnsi="Times New Roman"/>
          <w:sz w:val="21"/>
          <w:szCs w:val="21"/>
          <w:color w:val="auto"/>
          <w:vertAlign w:val="superscript"/>
        </w:rPr>
      </w:pPr>
    </w:p>
    <w:p>
      <w:pPr>
        <w:jc w:val="both"/>
        <w:ind w:left="340" w:right="380" w:hanging="332"/>
        <w:spacing w:after="0" w:line="266" w:lineRule="auto"/>
        <w:tabs>
          <w:tab w:leader="none" w:pos="3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Ranch operations revenues were $1,107,000 for the three months ended March 31, 2024, a decrease of $385,000, or 26%, from $1,492,000 for the same period in 2023. The decrease is attributed to lower filming location revenues of $469,000, partially offset by higher revenues recognized for grazing leases of $79,000.</w:t>
      </w:r>
    </w:p>
    <w:p>
      <w:pPr>
        <w:spacing w:after="0" w:line="40" w:lineRule="exact"/>
        <w:rPr>
          <w:rFonts w:ascii="Times New Roman" w:cs="Times New Roman" w:eastAsia="Times New Roman" w:hAnsi="Times New Roman"/>
          <w:sz w:val="18"/>
          <w:szCs w:val="18"/>
          <w:color w:val="auto"/>
        </w:rPr>
      </w:pPr>
    </w:p>
    <w:p>
      <w:pPr>
        <w:jc w:val="both"/>
        <w:ind w:left="340" w:right="40" w:hanging="332"/>
        <w:spacing w:after="0" w:line="250" w:lineRule="auto"/>
        <w:tabs>
          <w:tab w:leader="none" w:pos="3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Ranch operations expenses were $1,227,000 for the three months ended March 31, 2024, a decrease of $103,000, or 8%, from $1,330,000 for the same period in 2023. This decrease is mainly attributed to the savings in payroll and compensation expense of $64,000, reduction in landscaping services of $19,000 and reduction in insurance expense of $15,000.</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6EBF"/>
        </w:rPr>
        <w:t>Corporate and Other:</w:t>
      </w:r>
    </w:p>
    <w:p>
      <w:pPr>
        <w:spacing w:after="0" w:line="94" w:lineRule="exact"/>
        <w:rPr>
          <w:sz w:val="20"/>
          <w:szCs w:val="20"/>
          <w:color w:val="auto"/>
        </w:rPr>
      </w:pPr>
    </w:p>
    <w:p>
      <w:pPr>
        <w:jc w:val="both"/>
        <w:ind w:right="120"/>
        <w:spacing w:after="0" w:line="312" w:lineRule="auto"/>
        <w:rPr>
          <w:sz w:val="20"/>
          <w:szCs w:val="20"/>
          <w:color w:val="auto"/>
        </w:rPr>
      </w:pPr>
      <w:r>
        <w:rPr>
          <w:rFonts w:ascii="Times New Roman" w:cs="Times New Roman" w:eastAsia="Times New Roman" w:hAnsi="Times New Roman"/>
          <w:sz w:val="17"/>
          <w:szCs w:val="17"/>
          <w:color w:val="auto"/>
        </w:rPr>
        <w:t>Corporate general and administrative costs were $2,492,000 for the three months ended March 31, 2024, an increase of $205,000, or 9%, from $2,287,000 for the same period in 2023. The increase is primarily attributable to higher salary expense and stock compensation expense recognized during the period.</w:t>
      </w:r>
    </w:p>
    <w:p>
      <w:pPr>
        <w:spacing w:after="0" w:line="1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Total other income was $615,000 for the three months ended March 31, 2024, a decrease of $175,000 from $790,000 for the same period in 2023. This decrease is primarily attributed to a decrease in other income of $404,000, mainly due to the employee retention credit received in the first quarter of 2023 of $426,000, which did not reoccur in 2024. The decrease in other income was partially offset by an increase in interest income of $229,000 resulting from higher interest rates over the comparative periods.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0"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07"/>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6EBF"/>
              </w:rPr>
              <w:t>Joint Ventures:</w:t>
            </w:r>
          </w:p>
        </w:tc>
        <w:tc>
          <w:tcPr>
            <w:tcW w:w="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453"/>
        </w:trPr>
        <w:tc>
          <w:tcPr>
            <w:tcW w:w="1180" w:type="dxa"/>
            <w:vAlign w:val="bottom"/>
            <w:tcBorders>
              <w:top w:val="single" w:sz="8" w:color="006EBF"/>
            </w:tcBorders>
          </w:tcPr>
          <w:p>
            <w:pPr>
              <w:spacing w:after="0"/>
              <w:rPr>
                <w:sz w:val="24"/>
                <w:szCs w:val="24"/>
                <w:color w:val="auto"/>
              </w:rPr>
            </w:pPr>
          </w:p>
        </w:tc>
        <w:tc>
          <w:tcPr>
            <w:tcW w:w="2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32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460" w:type="dxa"/>
            <w:vAlign w:val="bottom"/>
          </w:tcPr>
          <w:p>
            <w:pPr>
              <w:spacing w:after="0"/>
              <w:rPr>
                <w:sz w:val="24"/>
                <w:szCs w:val="24"/>
                <w:color w:val="auto"/>
              </w:rPr>
            </w:pPr>
          </w:p>
        </w:tc>
        <w:tc>
          <w:tcPr>
            <w:tcW w:w="198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rPr>
              <w:t>Change</w:t>
            </w:r>
          </w:p>
        </w:tc>
        <w:tc>
          <w:tcPr>
            <w:tcW w:w="1300" w:type="dxa"/>
            <w:vAlign w:val="bottom"/>
          </w:tcPr>
          <w:p>
            <w:pPr>
              <w:spacing w:after="0"/>
              <w:rPr>
                <w:sz w:val="24"/>
                <w:szCs w:val="24"/>
                <w:color w:val="auto"/>
              </w:rPr>
            </w:pPr>
          </w:p>
        </w:tc>
      </w:tr>
      <w:tr>
        <w:trPr>
          <w:trHeight w:val="223"/>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38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top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Equity in earnings (loss)</w:t>
            </w:r>
          </w:p>
        </w:tc>
        <w:tc>
          <w:tcPr>
            <w:tcW w:w="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0"/>
        </w:trPr>
        <w:tc>
          <w:tcPr>
            <w:tcW w:w="3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Petro Travel Plaza Holdings, LLC</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9"/>
        </w:trPr>
        <w:tc>
          <w:tcPr>
            <w:tcW w:w="38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TRCC/Rock Outlet Center, LLC</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29"/>
        </w:trPr>
        <w:tc>
          <w:tcPr>
            <w:tcW w:w="3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TRC-MRC 1, LLC</w:t>
            </w: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92 %</w:t>
            </w:r>
          </w:p>
        </w:tc>
      </w:tr>
      <w:tr>
        <w:trPr>
          <w:trHeight w:val="230"/>
        </w:trPr>
        <w:tc>
          <w:tcPr>
            <w:tcW w:w="38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TRC-MRC 2, LLC</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66 %</w:t>
            </w:r>
          </w:p>
        </w:tc>
      </w:tr>
      <w:tr>
        <w:trPr>
          <w:trHeight w:val="229"/>
        </w:trPr>
        <w:tc>
          <w:tcPr>
            <w:tcW w:w="3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TRC-MRC 3, LLC</w:t>
            </w: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30"/>
        </w:trPr>
        <w:tc>
          <w:tcPr>
            <w:tcW w:w="38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TRC-MRC 4, LLC</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29"/>
        </w:trPr>
        <w:tc>
          <w:tcPr>
            <w:tcW w:w="38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TRC-MRC 5, LLC</w:t>
            </w:r>
          </w:p>
        </w:tc>
        <w:tc>
          <w:tcPr>
            <w:tcW w:w="3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w:t>
            </w:r>
          </w:p>
        </w:tc>
      </w:tr>
      <w:tr>
        <w:trPr>
          <w:trHeight w:val="223"/>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equity in earnings</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1,517</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0"/>
        </w:trPr>
        <w:tc>
          <w:tcPr>
            <w:tcW w:w="11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ind w:left="340" w:right="60" w:hanging="332"/>
        <w:spacing w:after="0" w:line="261" w:lineRule="auto"/>
        <w:tabs>
          <w:tab w:leader="none" w:pos="3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in earnings was $1,513,000 for the three months ended March 31, 2024, a decrease of $4,000, from $1,517,000 during the same period in 2023. The decrease is primarily attributed to lower equity in earnings realized on Petro Travel Plaza joint venture as a result of lower fuel sales volume, offset by higher equity in earnings realized on the TRC-MRC joint ventures including a new revenue stream generated by the recently completed building of TRC-MRC5 LLC joint venture.</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refer to "Non-GAAP Financial Measures" for further financial discussion of the results of our joint ventures.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6EBF"/>
        </w:rPr>
        <w:t>General Outlook</w:t>
      </w:r>
    </w:p>
    <w:p>
      <w:pPr>
        <w:spacing w:after="0" w:line="108"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Our operations are seasonal and future results of operations cannot reliably be predicted based on quarterly results. Historically, our largest percentage of farming revenues are recognized during the third and fourth quarters of the fiscal year. Real estate activity and leasing activities are dependent on market circumstances and specific opportunities and therefore are difficult to predict from period to period.</w:t>
      </w:r>
    </w:p>
    <w:p>
      <w:pPr>
        <w:spacing w:after="0" w:line="4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For further discussion of the risks and uncertainties that could potentially adversely affect us, please refer to Part I, Item 7 – “Management’s Discussion and Analysis of Financial Condition and Results of Operations” in our Annual Report on Form 10-K for the year ended December 31, 2023, or Annual Report, and to Part I, Item 1A - "Risk Factors" of our Annual Report. For further discussion, please refer to Note 11 (Commitments and Contingencies) of the Notes to Unaudited Consolidated Financial Statements in this report.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6EBF"/>
        </w:rPr>
        <w:t>Income Taxes</w:t>
      </w:r>
    </w:p>
    <w:p>
      <w:pPr>
        <w:spacing w:after="0" w:line="10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For the three months ended March 31, 2024, we had an income tax benefit of $942,000 compared to income tax expense of $1,013,000 for the three months ended March 31, 2023. The effective tax rates approximated 51% and 36% for the three months ended March 31, 2024 and 2023, respectively. As of March 31, 2024, there were no income taxes payable. We classify interest and penalties incurred on tax payments as income tax expenses. Our effective tax rates were higher than statutory rates primarily because of permanent differences related to Section 162(m). The Section 162(m) compensation deduction limitations occurred due to changes in tax law arising from the 2017 Tax Cuts and Jobs Act.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6EBF"/>
        </w:rPr>
        <w:t>Cash Flow and Liquidity</w:t>
      </w:r>
    </w:p>
    <w:p>
      <w:pPr>
        <w:spacing w:after="0" w:line="108"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Our financial position allows us to pursue our strategies of continued development of TRCC, funding of operating activities, land entitlement, development, and conservation. Accordingly, we have established well-defined priorities for our available cash, including investing in core operating segments to achieve profitable future growth. We have historically funded our operations with cash flows from operating activities, investment proceeds, and short-term borrowings from our bank credit facilities. In the past, we have also issued common stock and used the proceeds for capital investment activities.</w:t>
      </w:r>
    </w:p>
    <w:p>
      <w:pPr>
        <w:spacing w:after="0" w:line="62"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To enhance shareholder value over the long-term, we expect to continue to make investments in our real estate segments to secure land entitlement approvals, build infrastructure for our developments, invest in to be leased assets, provide adequate water supplies, and provide funds for general land development activities. Within our farming segment, we intend to make investments, as needed, to improve efficiency and add capacity to its operations, when it is profitable to do so.</w:t>
      </w:r>
    </w:p>
    <w:p>
      <w:pPr>
        <w:spacing w:after="0" w:line="4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Our cash, cash equivalents and marketable securities totaled approximately $60,671,000 as of March 31, 2024, a decrease of $3,792,000 from $64,463,000 as of December 31, 2023.</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34"/>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shows our cash flow activities for the three months ended March 31,</w:t>
            </w:r>
          </w:p>
        </w:tc>
        <w:tc>
          <w:tcPr>
            <w:tcW w:w="1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32"/>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2024</w:t>
            </w: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1180" w:type="dxa"/>
            <w:vAlign w:val="bottom"/>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3,413</w:t>
            </w:r>
          </w:p>
        </w:tc>
      </w:tr>
      <w:tr>
        <w:trPr>
          <w:trHeight w:val="229"/>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118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3,074</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w:t>
            </w: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1180" w:type="dxa"/>
            <w:vAlign w:val="bottom"/>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(3,030)</w:t>
            </w: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9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During the first three months of 2024, our operations provided $777,000 primarily as a result of collection of account receivables, offset by increases in inventories and prepaid expenses, and our net loss from operations.</w:t>
      </w:r>
    </w:p>
    <w:p>
      <w:pPr>
        <w:spacing w:after="0" w:line="4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During the first three months of 2023, the Company's operations provided $3,413,000 primarily as a result of distributions of earnings from unconsolidated joint ventures and our net income from operations.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9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During the first three months of 2024, investing activities provided $3,074,000. We made capital expenditures, inclusive of capitalized interest and payroll (exclusive of stock compensation), of $8,112,000, which includes predevelopment activities for our master planned communities, $599,000 consisting of permitting efforts for MV, $353,000 consisting of permitting efforts for Grapevine, and costs related to litigation defense for Centennial of $994,000. At TRCC, we spent $2,446,000 of construction cost on Terra Visa at Tejon and $1,573,000 on infrastructure improvements at TRCC-East. Within our farming segment, we spent $1,846,000, which includes cultural costs for orchards currently classified as under development and replacement of machinery and equipment. Additionally, we used $5,248,000 to acquire water assets. We had marketable securities of $46,239,000 that matured, and we reinvested $38,614,000. Lastly, we received proceeds of $5,500,000 from joint venture distributions.</w:t>
      </w:r>
    </w:p>
    <w:p>
      <w:pPr>
        <w:spacing w:after="0" w:line="6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During the first three months of 2023, investing activities provided $877,000. The Company made capital expenditures, inclusive of capitalized interest and payroll (exclusive of stock compensation), of $5,037,000, which includes predevelopment activities for our master planned communities, $524,000 consisting of permitting efforts for MV, $326,000 consisting of permitting efforts for Grapevine, and costs related to litigation defense for Centennial of $700,000. At TRCC, we spent $1,286,000 on infrastructure improvements at TRCC-East. Within our farming segment, we spent $1,659,000, which includes cultural costs for orchards currently classified as under development and replacement of machinery and equipment. Additionally, the Company used $4,355,000 to acquire water assets. The Company had marketable securities maturities of $27,193,000 and reinvested $28,892,000. Lastly, the Company received proceeds of $10,644,000, and $1,324,000 from joint venture distributions, and water sales, respectively.</w:t>
      </w:r>
    </w:p>
    <w:p>
      <w:pPr>
        <w:spacing w:after="0" w:line="67"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As we move forward, we anticipate we will continue to use cash from operations, proceeds from the maturity of securities, and anticipated distributions from joint ventures to fund real estate project investments, including the investments summarized below.</w:t>
      </w:r>
    </w:p>
    <w:p>
      <w:pPr>
        <w:spacing w:after="0" w:line="2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Our estimated capital investment, inclusive of capitalized interest and payroll, for the remainder of 2024 is primarily related to our real estate projects. These estimated investments include approximately $40,074,000 of construction costs for the Terra Vista at Tejon multi-family project phase 1 development and $14,832,000 of infrastructure development at TRCC-East to support the continued commercial retail and industrial development, water treatment system improvements, and expansion of the wastewater treatment plant for future anticipated absorption. We also expect to invest up to $7,652,000 for land planning, litigation/appeals, federal and state agency permitting activities, and development activities at MV, Centennial, and Grapevine during the remainder of 2024. Lastly, we plan to continue to invest $1,222,000 in cultural costs tied to new almond orchards and vineyards, and to replace farm equipment. The farm investments are part of a long-term farm management program to redevelop declining orchards and vineyards to maintain and improve future farm revenues.</w:t>
      </w:r>
    </w:p>
    <w:p>
      <w:pPr>
        <w:spacing w:after="0" w:line="7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capitalize interest cost as a cost of the project only during the period for which activities necessary to prepare an asset for its intended use are ongoing, provided expenditures for the asset have been made and interest cost has been incurred. Capitalized interest for the three months ended March 31, 2024 and 2023, was $968,000 and $621,000, respectively, and is classified within real estate development. We also capitalized payroll costs related to development, pre-construction, and construction projects, which aggregated $547,000 and $668,000 for the three months ended March 31, 2024 and 2023, respectively. Expenditures for repairs and maintenance are expensed as incurred.</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first three months of 2024, financing activities used $206,000, which was attributable to the tax payments on vested share grants.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35" w:name="page36"/>
    <w:bookmarkEnd w:id="35"/>
    <w:p>
      <w:pPr>
        <w:ind w:right="20"/>
        <w:spacing w:after="0" w:line="282" w:lineRule="auto"/>
        <w:rPr>
          <w:sz w:val="20"/>
          <w:szCs w:val="20"/>
          <w:color w:val="auto"/>
        </w:rPr>
      </w:pPr>
      <w:r>
        <w:rPr>
          <w:rFonts w:ascii="Times New Roman" w:cs="Times New Roman" w:eastAsia="Times New Roman" w:hAnsi="Times New Roman"/>
          <w:sz w:val="18"/>
          <w:szCs w:val="18"/>
          <w:color w:val="auto"/>
        </w:rPr>
        <w:t>During the first three months of 2023, financing activities used $3,030,000, which was attributable to long-term debt service of $436,000, and tax payments on vested share grants of $2,594,000.</w:t>
      </w:r>
    </w:p>
    <w:p>
      <w:pPr>
        <w:spacing w:after="0" w:line="10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It is difficult to accurately predict cash flows due to the nature of our businesses and fluctuating economic conditions. Our earnings and cash flows will be affected from period to period by the commodity nature of our farming and mineral operations, the timing of sales and leases of property within our development projects, and the beginning of development within our residential projects. The timing of sales and leases within our development projects is difficult to predict due to the time necessary to complete the development process and negotiate sales or lease contracts. Often, the timing aspect of land development can lead to particular years or periods having more or less earnings than comparable periods. Based on our experience, we believe we will have adequate cash flows, cash balances, and availability on our line of credit over the next twelve months to fund internal operations. As we move forward with the completion of the litigation, permitting and engineering design for our master planned communities and prepare to move into the development stage, we may need to secure additional funding through either the issuance of equity and/or by securing other forms of financing such as joint venture equity and debt financing.</w:t>
      </w:r>
    </w:p>
    <w:p>
      <w:pPr>
        <w:spacing w:after="0" w:line="53"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We regularly evaluate our short-term and long-term capital investment needs. Based on the timing of capital investments, we may supplement our current cash, marketable securities, and operational funding sources through the sale of common stock and the incurrence of additional debt.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6EBF"/>
        </w:rPr>
        <w:t>Capital Structure and Financial Condition</w:t>
      </w:r>
    </w:p>
    <w:p>
      <w:pPr>
        <w:spacing w:after="0" w:line="10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At March 31, 2024, total capitalization at book value was $530,664,000, consisting of $47,942,000 of debt and $482,722,000 of equity, resulting in a debt-to-total-capitalization ratio of approximately 9.0%.</w:t>
      </w:r>
    </w:p>
    <w:p>
      <w:pPr>
        <w:spacing w:after="0" w:line="10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On November 17, 2023, the Company entered into a Credit Agreement with AgWest Farm Credit, PCA, as administrative agent and letter of credit intermediary (Administrative Agent), and certain other lenders (the Credit Agreement Lenders), collectively, the Revolving Credit Facility. The Revolving Credit Facility provides TRC with (i) a revolving credit line (RCL) in the amount of $160,000,000 and (ii) the option for TRC to utilize a letter of credit sub-facility in the amount of $15,000,000 (LOC Sub-Facility). The LOC Sub-Facility is part of, and not in addition to, the RCL. As further summarized below, the RCL requires interest only payments and has a maturity date of January 1, 2029.</w:t>
      </w:r>
    </w:p>
    <w:p>
      <w:pPr>
        <w:spacing w:after="0" w:line="12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Upon closing of the Revolving Credit Facility, funds from the RCL were used to pay off and close out the existing Bank of America, N.A. Term Note and Revolving Line of Credit Note. The amount of this pay off was $47,078,564 plus accrued interest and fees on the Bank of America Term Note. The Company evaluated the debt exchange under Accounting Standards Codification (ASC) 470 and determined that the exchange should be treated as a debt extinguishment. Future borrowings under the Revolving Credit Facility will be used for ongoing working capital requirements, including to fund future construction projects, farming and ranching operations, and other general corporate purposes.</w:t>
      </w:r>
    </w:p>
    <w:p>
      <w:pPr>
        <w:spacing w:after="0" w:line="12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To maintain availability of funds, undrawn amounts under the RCL will accrue an unused fee of 15 basis points per annum except that, for the LOC Sub-Facility, TRC will incur a fee of 2.00% per annum for each letter of credit issued to TRC. TRC’s ability to borrow/draw additional funds is subject to compliance with certain financial and other covenants, some of which are further described below, and the continuing accuracy of certain representations and warranties contained in the Revolving Credit Facility.</w:t>
      </w:r>
    </w:p>
    <w:p>
      <w:pPr>
        <w:spacing w:after="0" w:line="12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interest rate per annum applicable to the Revolving Credit Facility is the one-month term SOFR plus an interest rate spread that is based on TRC’s consolidated net liabilities to equity ratio (NLER). The interest rate spread for the NLER has three tiers: (1) 2.75% if the NLER is 55% or more; (2) 2.5% if the NLER is between 35% and less than 55%; and (3) 2.25% if the NLER is less than 35%. The interest rate spread in the previous sentence may effectively be reduced by applying a patronage credit for TRC’s participation in the farm credit program, which patronage credit historically has been (for reference and information purposes only and not as a guarantee of future patronage credit) between 100-125 basis points. The patronage credit is paid annually by the Administrative Agent in the form of a dividend. As of March 31, 2024, the Company's NLER was in tier 3, or less than 35%, and the applicable interest rate spread was 2.25%.</w:t>
      </w:r>
    </w:p>
    <w:p>
      <w:pPr>
        <w:spacing w:after="0" w:line="13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Revolving Credit Facility requires the payment of interest only during the term, at which point the full drawn amount, plus accrued interest, must be repaid by the maturity date, if TRC has not earlier repaid the borrowed amount or extended the maturity date. The RCL may be repaid in part, or in full, by TRC at any time during the term without penalty. Certain events of default (as described in the Revolving Credit Facility) allow acceleration of repayment of borrowed funds, interest and other fees. The Revolving Credit Facility is unsecured, but the agreement provides the Administrative Agent a springing lien on TRC’s wholly owned, unencumbered assets, exclusive of assets subject to negative pledge, if one or more covenants is breached.</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6" w:name="page37"/>
    <w:bookmarkEnd w:id="36"/>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Revolving Credit Facility requires compliance with three financial covenants: (a) total liabilities divided by tangible net worth not greater than 0.55 to 1.00 at each year end; (b) a debt service coverage ratio not less than 1.50 to 1.00 as of each year end on a rolling four quarter basis; and (c) a liquidity ratio not less than 2.00 to 1.00 at each year end.</w:t>
      </w:r>
    </w:p>
    <w:p>
      <w:pPr>
        <w:spacing w:after="0" w:line="122" w:lineRule="exact"/>
        <w:rPr>
          <w:sz w:val="20"/>
          <w:szCs w:val="20"/>
          <w:color w:val="auto"/>
        </w:rPr>
      </w:pPr>
    </w:p>
    <w:p>
      <w:pPr>
        <w:jc w:val="both"/>
        <w:ind w:right="520"/>
        <w:spacing w:after="0" w:line="266" w:lineRule="auto"/>
        <w:rPr>
          <w:sz w:val="20"/>
          <w:szCs w:val="20"/>
          <w:color w:val="auto"/>
        </w:rPr>
      </w:pPr>
      <w:r>
        <w:rPr>
          <w:rFonts w:ascii="Times New Roman" w:cs="Times New Roman" w:eastAsia="Times New Roman" w:hAnsi="Times New Roman"/>
          <w:sz w:val="18"/>
          <w:szCs w:val="18"/>
          <w:color w:val="auto"/>
        </w:rPr>
        <w:t>The Revolving Credit Facility also contains customary negative covenants that limit the ability of the Company to, among other things, make capital expenditures, incur indebtedness and issue guaranties, consummate certain asset sales, acquisitions or mergers, make investments, pay dividends or repurchase stock, make a change in capital ownership, or incur liens on any assets.</w:t>
      </w:r>
    </w:p>
    <w:p>
      <w:pPr>
        <w:spacing w:after="0" w:line="122"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Revolving Credit Facility contains customary events of default, including: failure to make required payments; failure to comply with terms of the Credit Facility; bankruptcy and insolvency. The Credit Facility contains other customary terms and conditions, including representations and warranties, which are typical for credit facilities of this type.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2024 and December 31, 2023, we were in compliance with all financial covenants.</w:t>
      </w:r>
    </w:p>
    <w:p>
      <w:pPr>
        <w:spacing w:after="0" w:line="90"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We expect that current and future capital resource requirements will be provided primarily from current cash and marketable securities, cash flow from ongoing operations, distributions from joint ventures, proceeds from the sale of developed and undeveloped land parcels, potential sales of assets, additional use of debt or drawdowns against our line of credit, proceeds from the reimbursement of public infrastructure costs through CFD bond debt (described below under “Off-Balance Sheet Arrangements”), or issuance of additional common stock.</w:t>
      </w:r>
    </w:p>
    <w:p>
      <w:pPr>
        <w:spacing w:after="0" w:line="126"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7"/>
          <w:szCs w:val="17"/>
          <w:color w:val="auto"/>
        </w:rPr>
        <w:t>In May 2022, we filed an updated shelf registration statement on Form S-3 that went effective in May 2022. Under the shelf registration statement, we may offer and sell in the future through one or more offerings not to exceed $200,000,000 of common stock, preferred stock, debt securities, warrants or any combination of the foregoing. The shelf registration allows for efficient and timely access to capital markets and, when combined with our other potential funding sources just noted, provides us with a variety of capital funding options that can then be used and appropriately matched to our funding needs.</w:t>
      </w:r>
    </w:p>
    <w:p>
      <w:pPr>
        <w:spacing w:after="0" w:line="43"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We have a strong liquidity position at March 31, 2024 with $60,671,000 in cash and securities and $108,615,000 available on our New RLC to meet any short-term liquidity needs. See Note 3 (Marketable Securities) and Note 7 (Line of Credit and Long-Term Debt) of the Notes to Unaudited Consolidated Financial Statements for more information.</w:t>
      </w:r>
    </w:p>
    <w:p>
      <w:pPr>
        <w:spacing w:after="0" w:line="54"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We continue to expect that substantial investments will be required to develop our land assets. To meet these capital requirements, we may need to secure additional debt financing and continue to renew our existing credit facilities. In addition to debt financing, we will use other capital alternatives such as joint ventures with financial partners, sales of assets, and/or the issuance of common stock. We will use a combination of the above funding sources to properly match funding requirements with the assets or development project being funded. There is no assurance that we can obtain financing or that we can obtain financing at favorable terms. We believe we have adequate capital resources to fund our cash needs and our capital investment requirements in the near term as described earlier in the cash flow and liquidity discussions.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6EBF"/>
        </w:rPr>
        <w:t>Contractual Cash Obligations</w:t>
      </w:r>
    </w:p>
    <w:p>
      <w:pPr>
        <w:spacing w:after="0" w:line="10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contractual cash obligations and commercial commitments as of March 31, 2024, to be paid over the next five years and thereafter:</w:t>
      </w:r>
    </w:p>
    <w:p>
      <w:pPr>
        <w:spacing w:after="0" w:line="16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8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5"/>
          </w:tcPr>
          <w:p>
            <w:pPr>
              <w:ind w:left="1200"/>
              <w:spacing w:after="0"/>
              <w:rPr>
                <w:sz w:val="20"/>
                <w:szCs w:val="20"/>
                <w:color w:val="auto"/>
              </w:rPr>
            </w:pPr>
            <w:r>
              <w:rPr>
                <w:rFonts w:ascii="Times New Roman" w:cs="Times New Roman" w:eastAsia="Times New Roman" w:hAnsi="Times New Roman"/>
                <w:sz w:val="18"/>
                <w:szCs w:val="18"/>
                <w:color w:val="auto"/>
              </w:rPr>
              <w:t>Payments Due by Period</w:t>
            </w: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r>
      <w:tr>
        <w:trPr>
          <w:trHeight w:val="223"/>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80" w:type="dxa"/>
            <w:vAlign w:val="bottom"/>
          </w:tcPr>
          <w:p>
            <w:pPr>
              <w:spacing w:after="0"/>
              <w:rPr>
                <w:sz w:val="19"/>
                <w:szCs w:val="19"/>
                <w:color w:val="auto"/>
              </w:rPr>
            </w:pPr>
          </w:p>
        </w:tc>
        <w:tc>
          <w:tcPr>
            <w:tcW w:w="11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spacing w:after="0"/>
              <w:rPr>
                <w:sz w:val="19"/>
                <w:szCs w:val="19"/>
                <w:color w:val="auto"/>
              </w:rPr>
            </w:pPr>
          </w:p>
        </w:tc>
        <w:tc>
          <w:tcPr>
            <w:tcW w:w="16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One Year or Less</w:t>
            </w:r>
          </w:p>
        </w:tc>
        <w:tc>
          <w:tcPr>
            <w:tcW w:w="200" w:type="dxa"/>
            <w:vAlign w:val="bottom"/>
          </w:tcPr>
          <w:p>
            <w:pPr>
              <w:spacing w:after="0"/>
              <w:rPr>
                <w:sz w:val="19"/>
                <w:szCs w:val="19"/>
                <w:color w:val="auto"/>
              </w:rPr>
            </w:pP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Years 2-3</w:t>
            </w:r>
          </w:p>
        </w:tc>
        <w:tc>
          <w:tcPr>
            <w:tcW w:w="180" w:type="dxa"/>
            <w:vAlign w:val="bottom"/>
          </w:tcPr>
          <w:p>
            <w:pPr>
              <w:spacing w:after="0"/>
              <w:rPr>
                <w:sz w:val="19"/>
                <w:szCs w:val="19"/>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Years 4-5</w:t>
            </w:r>
          </w:p>
        </w:tc>
        <w:tc>
          <w:tcPr>
            <w:tcW w:w="200" w:type="dxa"/>
            <w:vAlign w:val="bottom"/>
          </w:tcPr>
          <w:p>
            <w:pPr>
              <w:spacing w:after="0"/>
              <w:rPr>
                <w:sz w:val="19"/>
                <w:szCs w:val="19"/>
                <w:color w:val="auto"/>
              </w:rPr>
            </w:pPr>
          </w:p>
        </w:tc>
        <w:tc>
          <w:tcPr>
            <w:tcW w:w="11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Thereafter</w:t>
            </w:r>
          </w:p>
        </w:tc>
      </w:tr>
      <w:tr>
        <w:trPr>
          <w:trHeight w:val="210"/>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Contractual Obligations:</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r>
      <w:tr>
        <w:trPr>
          <w:trHeight w:val="229"/>
        </w:trPr>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Estimated water payments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280,096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27,404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29,072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218,403</w:t>
            </w:r>
          </w:p>
        </w:tc>
      </w:tr>
      <w:tr>
        <w:trPr>
          <w:trHeight w:val="230"/>
        </w:trPr>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Revolving line-of-credit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47,942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47,942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contract commitments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w:t>
            </w:r>
          </w:p>
        </w:tc>
      </w:tr>
      <w:tr>
        <w:trPr>
          <w:trHeight w:val="230"/>
        </w:trPr>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Defined Benefit Plan</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2,851</w:t>
            </w:r>
          </w:p>
        </w:tc>
      </w:tr>
      <w:tr>
        <w:trPr>
          <w:trHeight w:val="229"/>
        </w:trPr>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SERP</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r>
      <w:tr>
        <w:trPr>
          <w:trHeight w:val="223"/>
        </w:trPr>
        <w:tc>
          <w:tcPr>
            <w:tcW w:w="3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contractual obligations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369,354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33,089</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32,071</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79,369</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224,825</w:t>
            </w:r>
          </w:p>
        </w:tc>
      </w:tr>
      <w:tr>
        <w:trPr>
          <w:trHeight w:val="20"/>
        </w:trPr>
        <w:tc>
          <w:tcPr>
            <w:tcW w:w="38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above includes only those contracts that include fixed or minimum obligations. It does not include normal purchases that are made in the ordinary course of business.</w:t>
      </w:r>
    </w:p>
    <w:p>
      <w:pPr>
        <w:spacing w:after="0" w:line="27"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Estimated water payments include the Nickel Family, LLC water contract, which obligates us to purchase 6,693 acre-feet of water annually through 2044 and SWP contracts with WRMWSD, TCWD, Tulare Lake Basin Water Storage District, and Dudley-Ridge Water Storage District. These contracts for the supply of future water run through 2035. Please refer to Note 5 (Long-Term Water Assets) of the Notes to Consolidated Financial Statements for additional information regarding water assets.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3" w:right="359" w:bottom="1440" w:gutter="0" w:footer="0" w:header="0"/>
        </w:sectPr>
      </w:pPr>
    </w:p>
    <w:bookmarkStart w:id="37" w:name="page38"/>
    <w:bookmarkEnd w:id="37"/>
    <w:p>
      <w:pPr>
        <w:ind w:right="160"/>
        <w:spacing w:after="0" w:line="255" w:lineRule="auto"/>
        <w:rPr>
          <w:sz w:val="20"/>
          <w:szCs w:val="20"/>
          <w:color w:val="auto"/>
        </w:rPr>
      </w:pPr>
      <w:r>
        <w:rPr>
          <w:rFonts w:ascii="Times New Roman" w:cs="Times New Roman" w:eastAsia="Times New Roman" w:hAnsi="Times New Roman"/>
          <w:sz w:val="18"/>
          <w:szCs w:val="18"/>
          <w:color w:val="auto"/>
        </w:rPr>
        <w:t>Our cash contract commitments consist of contracts in various stages of completion related to infrastructure development within our industrial developments and entitlement costs related to our industrial and residential development projects. Also, included in the cash contract commitments are estimated fees earned in 2014 by a consultant, related to the entitlement of the Grapevine Development Area. We exited a consulting contract in 2014 related to the Grapevine Development and are obligated to pay an earned incentive fee at the time of successful receipt of all project permits and entitlements and at a value measurement date five-years after entitlements have been achieved for Grapevine. The final amount of the incentive fees will not be finalized until the future payment dates. We believe that net savings from exiting the contract over this future time period will more than offset the incentive payment costs.</w:t>
      </w:r>
    </w:p>
    <w:p>
      <w:pPr>
        <w:spacing w:after="0" w:line="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discussed in Note 12 (Retirement Plans) of the Notes to Unaudited Consolidated Financial Statements, we have long-term liabilities for deferred employee compensation, including pension and supplemental retirement plans. Payments in the above table reflect estimates of future defined benefit plan contributions from us to the plan trust, estimates of payments to employees from the plan trust, and estimates of future payments to employees from us that are in the SERP program. We expect to contribute $165,000 to our defined benefit plan in 2024.</w:t>
      </w:r>
    </w:p>
    <w:p>
      <w:pPr>
        <w:spacing w:after="0" w:line="200" w:lineRule="exact"/>
        <w:rPr>
          <w:sz w:val="20"/>
          <w:szCs w:val="20"/>
          <w:color w:val="auto"/>
        </w:rPr>
      </w:pPr>
    </w:p>
    <w:p>
      <w:pPr>
        <w:spacing w:after="0" w:line="3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5" w:right="39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38"/>
        </w:trPr>
        <w:tc>
          <w:tcPr>
            <w:tcW w:w="4220" w:type="dxa"/>
            <w:vAlign w:val="bottom"/>
          </w:tcPr>
          <w:p>
            <w:pPr>
              <w:spacing w:after="0"/>
              <w:rPr>
                <w:sz w:val="20"/>
                <w:szCs w:val="20"/>
                <w:color w:val="auto"/>
              </w:rPr>
            </w:pPr>
            <w:r>
              <w:rPr>
                <w:rFonts w:ascii="Times New Roman" w:cs="Times New Roman" w:eastAsia="Times New Roman" w:hAnsi="Times New Roman"/>
                <w:sz w:val="18"/>
                <w:szCs w:val="18"/>
                <w:b w:val="1"/>
                <w:bCs w:val="1"/>
                <w:color w:val="006EBF"/>
              </w:rPr>
              <w:t>Off-Balance Sheet Arrangements</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97"/>
        </w:trPr>
        <w:tc>
          <w:tcPr>
            <w:tcW w:w="80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following table shows contingent obligations we have with respect to certain bonds issued by the CFDs:</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51"/>
        </w:trPr>
        <w:tc>
          <w:tcPr>
            <w:tcW w:w="42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gridSpan w:val="8"/>
          </w:tcPr>
          <w:p>
            <w:pPr>
              <w:ind w:left="140"/>
              <w:spacing w:after="0"/>
              <w:rPr>
                <w:sz w:val="20"/>
                <w:szCs w:val="20"/>
                <w:color w:val="auto"/>
              </w:rPr>
            </w:pPr>
            <w:r>
              <w:rPr>
                <w:rFonts w:ascii="Times New Roman" w:cs="Times New Roman" w:eastAsia="Times New Roman" w:hAnsi="Times New Roman"/>
                <w:sz w:val="18"/>
                <w:szCs w:val="18"/>
                <w:color w:val="auto"/>
              </w:rPr>
              <w:t>Amount of Commitment Expiration Per Period</w:t>
            </w: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r>
        <w:trPr>
          <w:trHeight w:val="223"/>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280" w:type="dxa"/>
            <w:vAlign w:val="bottom"/>
          </w:tcPr>
          <w:p>
            <w:pPr>
              <w:spacing w:after="0"/>
              <w:rPr>
                <w:sz w:val="19"/>
                <w:szCs w:val="19"/>
                <w:color w:val="auto"/>
              </w:rPr>
            </w:pPr>
          </w:p>
        </w:tc>
        <w:tc>
          <w:tcPr>
            <w:tcW w:w="11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spacing w:after="0"/>
              <w:rPr>
                <w:sz w:val="19"/>
                <w:szCs w:val="19"/>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&lt; 1 year</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2 -3 Years</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4 -5 Years</w:t>
            </w:r>
          </w:p>
        </w:tc>
        <w:tc>
          <w:tcPr>
            <w:tcW w:w="16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After 5 Years</w:t>
            </w:r>
          </w:p>
        </w:tc>
      </w:tr>
      <w:tr>
        <w:trPr>
          <w:trHeight w:val="210"/>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Commercial Commitments:</w:t>
            </w:r>
          </w:p>
        </w:tc>
        <w:tc>
          <w:tcPr>
            <w:tcW w:w="2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r>
      <w:tr>
        <w:trPr>
          <w:trHeight w:val="229"/>
        </w:trPr>
        <w:tc>
          <w:tcPr>
            <w:tcW w:w="4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Standby letter of credit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other commercial commitments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3,358</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3,358</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TRPFFA is a joint powers authority formed by Kern County and TCWD to finance public infrastructure within our Kern County developments. TRPFFA created two CFDs, the West CFD and the East CFD. The West CFD has placed liens on 420 acres of our land to secure payment of special taxes related to $19,540,000 of bond debt sold by TRPFFA for TRCC-West. The East CFD has placed liens on 1,931 acres of our land to secure payments of special taxes related to $72,055,000 of bond debt sold by TRPFFA for TRCC-East. At TRCC-West, the West CFD has no additional bond debt approved for issuance. At TRCC-East, the East CFD has approximately $44,035,000 of additional bond debt authorized by TRPFFA.</w:t>
      </w:r>
    </w:p>
    <w:p>
      <w:pPr>
        <w:spacing w:after="0" w:line="6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connection with the sale of the bonds, there is a standby letter of credit for $3,358,000 related to the issuance of East CFD bonds. The standby letter of credit is in place to provide additional credit enhancement and cover approximately two years' worth of interest on the outstanding bonds. This letter of credit will not be drawn upon unless we, as the largest landowner in the CFD, fail to make our property tax payments. As development occurs within TRCC-East, there is a mechanism in the bond documents to reduce the amount of the letter of credit. As of March 31, 2024, we believe that the letter of credit will likely never be drawn upon. This letter of credit is for a two-year period and will be renewed in two-year intervals, as necessary. The annual cost related to the letter of credit is approximately $67,000. The tax assessment of each individual property sold or leased within each CFD is not determinable at this time, because it is based on the current tax rate of the property at the time of sale or at the time it is leased to a third-party. Accordingly, we were not required to recognize an obligation as of March 31, 2024.</w:t>
      </w:r>
    </w:p>
    <w:p>
      <w:pPr>
        <w:spacing w:after="0" w:line="5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of March 31, 2024, aggregate outstanding debt of unconsolidated joint ventures was $225,200,000; $20,776,000 is attributable to the loan for TRCC/Rock Outlet joint venture. This loan is 100% guaranteed at March 31, 2024. All other outstanding debt attributed to our joint ventures have met their respective debt covenants, hence not subject to an effective guarantee at March 31, 2024. We do not provide a guarantee on the $12,365,000 of debt related to our joint venture with TA/Petro.</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006EBF"/>
        </w:rPr>
        <w:t>Non-GAAP Financial Measures</w:t>
      </w:r>
    </w:p>
    <w:p>
      <w:pPr>
        <w:spacing w:after="0" w:line="175"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EBITDA represents earnings before interest, taxes, depreciation, and amortization, a non-GAAP financial measure, and is used by us and others as a supplemental measure of performance. We use Adjusted EBITDA to assess the performance of our core operations, for financial and operational decision making, and as a supplemental or additional means of evaluating period-to-period comparisons on a consistent basis. Adjusted EBITDA is calculated as EBITDA, excluding stock compensation expense. We believe Adjusted EBITDA provides investors relevant and useful information because it permits investors to view income from our operations on an unleveraged basis, before the effects of taxes, depreciation and amortization, and stock compensation expense. By excluding interest expense and income, EBITDA and Adjusted EBITDA allow investors to measure our performance independent of our capital structure and indebtedness and, therefore, allow for a more meaningful comparison of our performance to that of other companies, both in the real estate industry and in other industries. We believe that excluding charges related to share-based compensation facilitates a comparison of our operations across periods and among other companies without the variances caused by different valuation methodologies, the volatility of the expense (which depends on market forces outside our control), and the assumptions and the variety of award types that a company can use. EBITDA and Adjusted EBITDA have limitations as measures of our performance. EBITDA and Adjusted EBITDA do not reflect our historical cash expenditures or future cash requirements for capital expenditures or contractual commitments. While EBITDA and Adjusted EBITDA are relevant and widely used measures of performance, they do not represent net income or cash flows from operations as defined by GAAP. Further, our computation of EBITDA and Adjusted EBITDA may not be comparable to similar measures reported by other companies.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4"/>
          </w:tcPr>
          <w:p>
            <w:pPr>
              <w:jc w:val="right"/>
              <w:ind w:right="490"/>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223"/>
        </w:trPr>
        <w:tc>
          <w:tcPr>
            <w:tcW w:w="7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3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w:t>
            </w:r>
          </w:p>
        </w:tc>
      </w:tr>
      <w:tr>
        <w:trPr>
          <w:trHeight w:val="229"/>
        </w:trPr>
        <w:tc>
          <w:tcPr>
            <w:tcW w:w="7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34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net</w:t>
            </w: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7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Consolidated</w:t>
            </w: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r>
      <w:tr>
        <w:trPr>
          <w:trHeight w:val="229"/>
        </w:trPr>
        <w:tc>
          <w:tcPr>
            <w:tcW w:w="7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Our share of interest expense from unconsolidated joint ventures</w:t>
            </w:r>
          </w:p>
        </w:tc>
        <w:tc>
          <w:tcPr>
            <w:tcW w:w="3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w:t>
            </w:r>
          </w:p>
        </w:tc>
      </w:tr>
      <w:tr>
        <w:trPr>
          <w:trHeight w:val="223"/>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interest, net</w:t>
            </w: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w:t>
            </w:r>
          </w:p>
        </w:tc>
      </w:tr>
      <w:tr>
        <w:trPr>
          <w:trHeight w:val="229"/>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w:t>
            </w:r>
          </w:p>
        </w:tc>
      </w:tr>
      <w:tr>
        <w:trPr>
          <w:trHeight w:val="230"/>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7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Consolidated</w:t>
            </w: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w:t>
            </w:r>
          </w:p>
        </w:tc>
      </w:tr>
      <w:tr>
        <w:trPr>
          <w:trHeight w:val="230"/>
        </w:trPr>
        <w:tc>
          <w:tcPr>
            <w:tcW w:w="77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Our share of depreciation and amortization from unconsolidated joint ventures</w:t>
            </w:r>
          </w:p>
        </w:tc>
        <w:tc>
          <w:tcPr>
            <w:tcW w:w="3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1,607</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1,274</w:t>
            </w:r>
          </w:p>
        </w:tc>
      </w:tr>
      <w:tr>
        <w:trPr>
          <w:trHeight w:val="223"/>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depreciation and amortization</w:t>
            </w:r>
          </w:p>
        </w:tc>
        <w:tc>
          <w:tcPr>
            <w:tcW w:w="3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w:t>
            </w:r>
          </w:p>
        </w:tc>
      </w:tr>
      <w:tr>
        <w:trPr>
          <w:trHeight w:val="223"/>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5,768</w:t>
            </w:r>
          </w:p>
        </w:tc>
      </w:tr>
      <w:tr>
        <w:trPr>
          <w:trHeight w:val="230"/>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3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w:t>
            </w:r>
          </w:p>
        </w:tc>
      </w:tr>
      <w:tr>
        <w:trPr>
          <w:trHeight w:val="223"/>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2,128</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6,389</w:t>
            </w:r>
          </w:p>
        </w:tc>
      </w:tr>
      <w:tr>
        <w:trPr>
          <w:trHeight w:val="20"/>
        </w:trPr>
        <w:tc>
          <w:tcPr>
            <w:tcW w:w="77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operating income (NOI) is a non-GAAP financial measure calculated as operating income, the most directly comparable financial measure calculated and presented in accordance with GAAP, excluding general and administrative expenses, interest expense, depreciation and amortization, and gain or loss on sales of real estate. We believe NOI provides useful information to investors regarding our financial condition and results of operations because it primarily reflects those income and expense items that are incurred at the property level. Therefore, we believe NOI is a useful measure for evaluating the operating performance of our real estate assets.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180" w:type="dxa"/>
            <w:vAlign w:val="bottom"/>
            <w:gridSpan w:val="5"/>
          </w:tcPr>
          <w:p>
            <w:pPr>
              <w:ind w:left="24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260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Commercial/Industrial operating income</w:t>
            </w:r>
          </w:p>
        </w:tc>
        <w:tc>
          <w:tcPr>
            <w:tcW w:w="26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Plus: Commercial/Industrial depreciation and amortization</w:t>
            </w:r>
          </w:p>
        </w:tc>
        <w:tc>
          <w:tcPr>
            <w:tcW w:w="2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Plus: General, administrative, cost of sales and other expenses</w:t>
            </w:r>
          </w:p>
        </w:tc>
        <w:tc>
          <w:tcPr>
            <w:tcW w:w="26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Less: Other revenues including land sales</w:t>
            </w:r>
          </w:p>
        </w:tc>
        <w:tc>
          <w:tcPr>
            <w:tcW w:w="26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Commercial/Industrial net operating income</w:t>
            </w:r>
          </w:p>
        </w:tc>
        <w:tc>
          <w:tcPr>
            <w:tcW w:w="26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1,873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1,982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Borders>
              <w:top w:val="single" w:sz="8" w:color="CCEEFF"/>
            </w:tcBorders>
          </w:tcPr>
          <w:p>
            <w:pPr>
              <w:spacing w:after="0" w:line="20" w:lineRule="exact"/>
              <w:rPr>
                <w:sz w:val="1"/>
                <w:szCs w:val="1"/>
                <w:color w:val="auto"/>
              </w:rPr>
            </w:pPr>
          </w:p>
        </w:tc>
        <w:tc>
          <w:tcPr>
            <w:tcW w:w="2600" w:type="dxa"/>
            <w:vAlign w:val="bottom"/>
            <w:tcBorders>
              <w:top w:val="single" w:sz="8" w:color="CCEEFF"/>
              <w:bottom w:val="single" w:sz="8" w:color="CCEEFF"/>
            </w:tcBorders>
            <w:vMerge w:val="restart"/>
          </w:tcPr>
          <w:p>
            <w:pPr>
              <w:jc w:val="right"/>
              <w:ind w:right="1870"/>
              <w:spacing w:after="0"/>
              <w:rPr>
                <w:sz w:val="20"/>
                <w:szCs w:val="20"/>
                <w:color w:val="auto"/>
              </w:rPr>
            </w:pPr>
            <w:r>
              <w:rPr>
                <w:rFonts w:ascii="Times New Roman" w:cs="Times New Roman" w:eastAsia="Times New Roman" w:hAnsi="Times New Roman"/>
                <w:sz w:val="18"/>
                <w:szCs w:val="18"/>
                <w:color w:val="auto"/>
              </w:rPr>
              <w:t>40</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260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060" w:type="dxa"/>
            <w:vAlign w:val="bottom"/>
            <w:tcBorders>
              <w:bottom w:val="single" w:sz="8" w:color="9A9A9A"/>
            </w:tcBorders>
          </w:tcPr>
          <w:p>
            <w:pPr>
              <w:spacing w:after="0"/>
              <w:rPr>
                <w:sz w:val="10"/>
                <w:szCs w:val="10"/>
                <w:color w:val="auto"/>
              </w:rPr>
            </w:pPr>
          </w:p>
        </w:tc>
        <w:tc>
          <w:tcPr>
            <w:tcW w:w="26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34"/>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36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4"/>
          </w:tcPr>
          <w:p>
            <w:pPr>
              <w:jc w:val="right"/>
              <w:ind w:right="530"/>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223"/>
        </w:trPr>
        <w:tc>
          <w:tcPr>
            <w:tcW w:w="7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operating income</w:t>
            </w:r>
          </w:p>
        </w:tc>
        <w:tc>
          <w:tcPr>
            <w:tcW w:w="3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Pastoria Energy Facility</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w:t>
            </w:r>
          </w:p>
        </w:tc>
      </w:tr>
      <w:tr>
        <w:trPr>
          <w:trHeight w:val="22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TRCC</w:t>
            </w:r>
          </w:p>
        </w:tc>
        <w:tc>
          <w:tcPr>
            <w:tcW w:w="3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r>
      <w:tr>
        <w:trPr>
          <w:trHeight w:val="229"/>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Communication leases</w:t>
            </w:r>
          </w:p>
        </w:tc>
        <w:tc>
          <w:tcPr>
            <w:tcW w:w="3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r>
      <w:tr>
        <w:trPr>
          <w:trHeight w:val="230"/>
        </w:trPr>
        <w:tc>
          <w:tcPr>
            <w:tcW w:w="7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commercial leases</w:t>
            </w:r>
          </w:p>
        </w:tc>
        <w:tc>
          <w:tcPr>
            <w:tcW w:w="3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48"/>
        </w:trPr>
        <w:tc>
          <w:tcPr>
            <w:tcW w:w="7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Commercial/Industrial net operating income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1,873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1,982</w:t>
            </w: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utilizes NOI of unconsolidated joint ventures as a measure of financial or operating performance that is not specifically defined by GAAP. We believe NOI of unconsolidated joint ventures provides investors with additional information concerning operating performance of our unconsolidated joint ventures. We also use this measure internally to monitor the operating performance of our unconsolidated joint ventures. Our computation of this non-GAAP measure may not be the same as similar measures reported by other companies. This non-GAAP financial measure should not be considered as an alternative to net income as a measure of the operating performance of our unconsolidated joint ventures or to cash flows computed in accordance with GAAP as a measure of liquidity nor are they indicative of cash flows from operating and financial activities of our unconsolidated joint ventures.</w:t>
      </w:r>
    </w:p>
    <w:p>
      <w:pPr>
        <w:spacing w:after="0" w:line="6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schedule reconciles net income of unconsolidated joint ventures to NOI of unconsolidated joint ventures. Please refer to Note 14 (Investment in Unconsolidated and Consolidated Joint Ventures) of the Notes to Unaudited Consolidated Financial Statements for further discussion on joint ventures.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6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4"/>
          </w:tcPr>
          <w:p>
            <w:pPr>
              <w:jc w:val="right"/>
              <w:ind w:right="51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0" w:type="dxa"/>
            <w:vAlign w:val="bottom"/>
          </w:tcPr>
          <w:p>
            <w:pPr>
              <w:spacing w:after="0"/>
              <w:rPr>
                <w:sz w:val="1"/>
                <w:szCs w:val="1"/>
                <w:color w:val="auto"/>
              </w:rPr>
            </w:pPr>
          </w:p>
        </w:tc>
      </w:tr>
      <w:tr>
        <w:trPr>
          <w:trHeight w:val="223"/>
        </w:trPr>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6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2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of unconsolidated joint ventures</w:t>
            </w:r>
          </w:p>
        </w:tc>
        <w:tc>
          <w:tcPr>
            <w:tcW w:w="26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2,579</w:t>
            </w:r>
          </w:p>
        </w:tc>
        <w:tc>
          <w:tcPr>
            <w:tcW w:w="0" w:type="dxa"/>
            <w:vAlign w:val="bottom"/>
          </w:tcPr>
          <w:p>
            <w:pPr>
              <w:spacing w:after="0"/>
              <w:rPr>
                <w:sz w:val="1"/>
                <w:szCs w:val="1"/>
                <w:color w:val="auto"/>
              </w:rPr>
            </w:pPr>
          </w:p>
        </w:tc>
      </w:tr>
      <w:tr>
        <w:trPr>
          <w:trHeight w:val="229"/>
        </w:trPr>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expense of unconsolidated joint ventures</w:t>
            </w:r>
          </w:p>
        </w:tc>
        <w:tc>
          <w:tcPr>
            <w:tcW w:w="26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2,310</w:t>
            </w:r>
          </w:p>
        </w:tc>
        <w:tc>
          <w:tcPr>
            <w:tcW w:w="0" w:type="dxa"/>
            <w:vAlign w:val="bottom"/>
          </w:tcPr>
          <w:p>
            <w:pPr>
              <w:spacing w:after="0"/>
              <w:rPr>
                <w:sz w:val="1"/>
                <w:szCs w:val="1"/>
                <w:color w:val="auto"/>
              </w:rPr>
            </w:pPr>
          </w:p>
        </w:tc>
      </w:tr>
      <w:tr>
        <w:trPr>
          <w:trHeight w:val="22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of unconsolidated joint ventures</w:t>
            </w:r>
          </w:p>
        </w:tc>
        <w:tc>
          <w:tcPr>
            <w:tcW w:w="26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4,889</w:t>
            </w:r>
          </w:p>
        </w:tc>
        <w:tc>
          <w:tcPr>
            <w:tcW w:w="0" w:type="dxa"/>
            <w:vAlign w:val="bottom"/>
          </w:tcPr>
          <w:p>
            <w:pPr>
              <w:spacing w:after="0"/>
              <w:rPr>
                <w:sz w:val="1"/>
                <w:szCs w:val="1"/>
                <w:color w:val="auto"/>
              </w:rPr>
            </w:pPr>
          </w:p>
        </w:tc>
      </w:tr>
      <w:tr>
        <w:trPr>
          <w:trHeight w:val="229"/>
        </w:trPr>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of unconsolidated joint ventures</w:t>
            </w:r>
          </w:p>
        </w:tc>
        <w:tc>
          <w:tcPr>
            <w:tcW w:w="26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2,424</w:t>
            </w:r>
          </w:p>
        </w:tc>
        <w:tc>
          <w:tcPr>
            <w:tcW w:w="0" w:type="dxa"/>
            <w:vAlign w:val="bottom"/>
          </w:tcPr>
          <w:p>
            <w:pPr>
              <w:spacing w:after="0"/>
              <w:rPr>
                <w:sz w:val="1"/>
                <w:szCs w:val="1"/>
                <w:color w:val="auto"/>
              </w:rPr>
            </w:pPr>
          </w:p>
        </w:tc>
      </w:tr>
      <w:tr>
        <w:trPr>
          <w:trHeight w:val="248"/>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operating income of unconsolidated joint ventures</w:t>
            </w:r>
          </w:p>
        </w:tc>
        <w:tc>
          <w:tcPr>
            <w:tcW w:w="26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7,313</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bottom w:val="single" w:sz="8" w:color="CCEEFF"/>
            </w:tcBorders>
            <w:vMerge w:val="restart"/>
          </w:tcPr>
          <w:p>
            <w:pPr>
              <w:jc w:val="right"/>
              <w:ind w:right="1910"/>
              <w:spacing w:after="0"/>
              <w:rPr>
                <w:sz w:val="20"/>
                <w:szCs w:val="20"/>
                <w:color w:val="auto"/>
              </w:rPr>
            </w:pPr>
            <w:r>
              <w:rPr>
                <w:rFonts w:ascii="Times New Roman" w:cs="Times New Roman" w:eastAsia="Times New Roman" w:hAnsi="Times New Roman"/>
                <w:sz w:val="18"/>
                <w:szCs w:val="18"/>
                <w:color w:val="auto"/>
              </w:rPr>
              <w:t>41</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5060" w:type="dxa"/>
            <w:vAlign w:val="bottom"/>
          </w:tcPr>
          <w:p>
            <w:pPr>
              <w:spacing w:after="0"/>
              <w:rPr>
                <w:sz w:val="24"/>
                <w:szCs w:val="24"/>
                <w:color w:val="auto"/>
              </w:rPr>
            </w:pPr>
          </w:p>
        </w:tc>
        <w:tc>
          <w:tcPr>
            <w:tcW w:w="26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60" w:type="dxa"/>
            <w:vAlign w:val="bottom"/>
            <w:tcBorders>
              <w:bottom w:val="single" w:sz="8" w:color="9A9A9A"/>
            </w:tcBorders>
          </w:tcPr>
          <w:p>
            <w:pPr>
              <w:spacing w:after="0"/>
              <w:rPr>
                <w:sz w:val="10"/>
                <w:szCs w:val="10"/>
                <w:color w:val="auto"/>
              </w:rPr>
            </w:pPr>
          </w:p>
        </w:tc>
        <w:tc>
          <w:tcPr>
            <w:tcW w:w="26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6EBF"/>
        </w:rPr>
        <w:t>ITEM 3. QUANTITATIVE AND QUALITATIVE DISCLOSURES ABOUT MARKET RISK</w:t>
      </w:r>
    </w:p>
    <w:p>
      <w:pPr>
        <w:spacing w:after="0" w:line="9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Market risk represents the risk of loss that may impact the financial position, results of operations, or cash flows of the Company due to adverse changes in financial or commodity market prices or rates. We are exposed to market risk in the areas of interest rates and commodity prices.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Financial Market Risks</w:t>
      </w:r>
    </w:p>
    <w:p>
      <w:pPr>
        <w:spacing w:after="0" w:line="171"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Our exposure to financial market risks includes changes to interest rates and credit risks related to marketable securities, interest rates related to our outstanding indebtedness and trade receivables.</w:t>
      </w:r>
    </w:p>
    <w:p>
      <w:pPr>
        <w:spacing w:after="0" w:line="10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primary objective of our investment activities is to preserve principal, while at the same time maximizing yields and prudently managing risk. To achieve this objective and limit interest rate exposure, we limit our investments to securities with a maturity of less than five years and an investment grade rating from Moody’s or Standard and Poor’s. See Note 3 (Marketable Securities) of the Notes to Consolidated Financial Statements.</w:t>
      </w:r>
    </w:p>
    <w:p>
      <w:pPr>
        <w:spacing w:after="0" w:line="122"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Our current RCL has a $47,942,000 outstanding balance. The interest rate on this line of credit can float at a rate equal to one-month term SOFR plus 2.25% for an effective rate of 7.58% at March 31, 2024. During the term of this RCL (which matures in January 2029), the Company can borrow at any time and partially or wholly repay any outstanding borrowings and then re-borrow, as necessary outstanding balances.</w:t>
      </w:r>
    </w:p>
    <w:p>
      <w:pPr>
        <w:spacing w:after="0" w:line="12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Market risk related to our farming inventories ultimately depends on the value of almonds, grapes, and pistachios at the time of payment or sale. Credit risk related to our receivables depends upon the financial condition of our customers. Based on historical experience with our current customers, and periodic credit evaluations of our customers’ financial conditions, we believe our credit risk is minimal. Market risk related to our farming inventories is discussed below in the section pertaining to commodity price exposure.</w:t>
      </w:r>
    </w:p>
    <w:p>
      <w:pPr>
        <w:spacing w:after="0" w:line="58"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The following tables provide information about our financial instruments that are sensitive to changes in interest rates. The tables present our debt obligations and marketable securities and their related weighted-average interest rates by expected maturity dates.</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Interest Rate Sensitivity Financial Market Risks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Principal Amount by Expected Maturity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At March 31, 2024</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 except percentage data)</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0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0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10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2027</w:t>
            </w:r>
          </w:p>
        </w:tc>
        <w:tc>
          <w:tcPr>
            <w:tcW w:w="10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2028</w:t>
            </w:r>
          </w:p>
        </w:tc>
        <w:tc>
          <w:tcPr>
            <w:tcW w:w="100" w:type="dxa"/>
            <w:vAlign w:val="bottom"/>
          </w:tcPr>
          <w:p>
            <w:pPr>
              <w:spacing w:after="0"/>
              <w:rPr>
                <w:sz w:val="20"/>
                <w:szCs w:val="20"/>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Thereafter</w:t>
            </w:r>
          </w:p>
        </w:tc>
        <w:tc>
          <w:tcPr>
            <w:tcW w:w="11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Fair Value</w:t>
            </w:r>
          </w:p>
        </w:tc>
        <w:tc>
          <w:tcPr>
            <w:tcW w:w="0" w:type="dxa"/>
            <w:vAlign w:val="bottom"/>
          </w:tcPr>
          <w:p>
            <w:pPr>
              <w:spacing w:after="0"/>
              <w:rPr>
                <w:sz w:val="1"/>
                <w:szCs w:val="1"/>
                <w:color w:val="auto"/>
              </w:rPr>
            </w:pPr>
          </w:p>
        </w:tc>
      </w:tr>
      <w:tr>
        <w:trPr>
          <w:trHeight w:val="210"/>
        </w:trPr>
        <w:tc>
          <w:tcPr>
            <w:tcW w:w="2820" w:type="dxa"/>
            <w:vAlign w:val="bottom"/>
            <w:vMerge w:val="continue"/>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$21,680</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$3,468</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6"/>
              </w:rPr>
              <w:t>$—</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$25,148</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$25,119</w:t>
            </w:r>
          </w:p>
        </w:tc>
        <w:tc>
          <w:tcPr>
            <w:tcW w:w="0" w:type="dxa"/>
            <w:vAlign w:val="bottom"/>
          </w:tcPr>
          <w:p>
            <w:pPr>
              <w:spacing w:after="0"/>
              <w:rPr>
                <w:sz w:val="1"/>
                <w:szCs w:val="1"/>
                <w:color w:val="auto"/>
              </w:rPr>
            </w:pPr>
          </w:p>
        </w:tc>
      </w:tr>
      <w:tr>
        <w:trPr>
          <w:trHeight w:val="230"/>
        </w:trPr>
        <w:tc>
          <w:tcPr>
            <w:tcW w:w="2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 average interest rate</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5.19%</w:t>
            </w:r>
          </w:p>
        </w:tc>
        <w:tc>
          <w:tcPr>
            <w:tcW w:w="10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4.92%</w:t>
            </w:r>
          </w:p>
        </w:tc>
        <w:tc>
          <w:tcPr>
            <w:tcW w:w="100" w:type="dxa"/>
            <w:vAlign w:val="bottom"/>
          </w:tcPr>
          <w:p>
            <w:pPr>
              <w:spacing w:after="0"/>
              <w:rPr>
                <w:sz w:val="19"/>
                <w:szCs w:val="19"/>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5.15%</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Revolving line-of-credit</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$47,942</w:t>
            </w:r>
          </w:p>
        </w:tc>
        <w:tc>
          <w:tcPr>
            <w:tcW w:w="10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$47,942</w:t>
            </w:r>
          </w:p>
        </w:tc>
        <w:tc>
          <w:tcPr>
            <w:tcW w:w="10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$47,942</w:t>
            </w:r>
          </w:p>
        </w:tc>
        <w:tc>
          <w:tcPr>
            <w:tcW w:w="0" w:type="dxa"/>
            <w:vAlign w:val="bottom"/>
          </w:tcPr>
          <w:p>
            <w:pPr>
              <w:spacing w:after="0"/>
              <w:rPr>
                <w:sz w:val="1"/>
                <w:szCs w:val="1"/>
                <w:color w:val="auto"/>
              </w:rPr>
            </w:pPr>
          </w:p>
        </w:tc>
      </w:tr>
      <w:tr>
        <w:trPr>
          <w:trHeight w:val="229"/>
        </w:trPr>
        <w:tc>
          <w:tcPr>
            <w:tcW w:w="282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Weighted average interest rate</w:t>
            </w:r>
            <w:r>
              <w:rPr>
                <w:rFonts w:ascii="Times New Roman" w:cs="Times New Roman" w:eastAsia="Times New Roman" w:hAnsi="Times New Roman"/>
                <w:sz w:val="23"/>
                <w:szCs w:val="23"/>
                <w:color w:val="auto"/>
                <w:vertAlign w:val="superscript"/>
              </w:rPr>
              <w:t>1</w:t>
            </w:r>
          </w:p>
        </w:tc>
        <w:tc>
          <w:tcPr>
            <w:tcW w:w="10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S+2.25%</w:t>
            </w:r>
          </w:p>
        </w:tc>
        <w:tc>
          <w:tcPr>
            <w:tcW w:w="10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S+2.25%</w:t>
            </w:r>
          </w:p>
        </w:tc>
        <w:tc>
          <w:tcPr>
            <w:tcW w:w="10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S+2.25%</w:t>
            </w:r>
          </w:p>
        </w:tc>
        <w:tc>
          <w:tcPr>
            <w:tcW w:w="10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S+2.25%</w:t>
            </w:r>
          </w:p>
        </w:tc>
        <w:tc>
          <w:tcPr>
            <w:tcW w:w="10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S+2.25%</w:t>
            </w:r>
          </w:p>
        </w:tc>
        <w:tc>
          <w:tcPr>
            <w:tcW w:w="11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S+2.25%</w:t>
            </w:r>
          </w:p>
        </w:tc>
        <w:tc>
          <w:tcPr>
            <w:tcW w:w="11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S+2.25%</w:t>
            </w: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6"/>
          <w:szCs w:val="16"/>
          <w:color w:val="auto"/>
        </w:rPr>
        <w:t>The effective interest rate on this line of credit is SOFR plus a margin of 2.25%, and the rate was 7.58% as of March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42" w:name="page43"/>
    <w:bookmarkEnd w:id="4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Interest Rate Sensitivity Financial Market Risks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Principal Amount by Expected Maturity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At December 31, 2023</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 except percentage data)</w:t>
      </w:r>
    </w:p>
    <w:p>
      <w:pPr>
        <w:spacing w:after="0" w:line="20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8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0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0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10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2027</w:t>
            </w:r>
          </w:p>
        </w:tc>
        <w:tc>
          <w:tcPr>
            <w:tcW w:w="12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2028</w:t>
            </w:r>
          </w:p>
        </w:tc>
        <w:tc>
          <w:tcPr>
            <w:tcW w:w="100" w:type="dxa"/>
            <w:vAlign w:val="bottom"/>
          </w:tcPr>
          <w:p>
            <w:pPr>
              <w:spacing w:after="0"/>
              <w:rPr>
                <w:sz w:val="20"/>
                <w:szCs w:val="20"/>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Thereafter</w:t>
            </w:r>
          </w:p>
        </w:tc>
        <w:tc>
          <w:tcPr>
            <w:tcW w:w="10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Fair Value</w:t>
            </w:r>
          </w:p>
        </w:tc>
        <w:tc>
          <w:tcPr>
            <w:tcW w:w="0" w:type="dxa"/>
            <w:vAlign w:val="bottom"/>
          </w:tcPr>
          <w:p>
            <w:pPr>
              <w:spacing w:after="0"/>
              <w:rPr>
                <w:sz w:val="1"/>
                <w:szCs w:val="1"/>
                <w:color w:val="auto"/>
              </w:rPr>
            </w:pPr>
          </w:p>
        </w:tc>
      </w:tr>
      <w:tr>
        <w:trPr>
          <w:trHeight w:val="209"/>
        </w:trPr>
        <w:tc>
          <w:tcPr>
            <w:tcW w:w="2860" w:type="dxa"/>
            <w:vAlign w:val="bottom"/>
            <w:vMerge w:val="continue"/>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$32,576</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6"/>
              </w:rPr>
              <w:t>$—</w:t>
            </w:r>
          </w:p>
        </w:tc>
        <w:tc>
          <w:tcPr>
            <w:tcW w:w="10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6"/>
              </w:rPr>
              <w:t>$—</w:t>
            </w:r>
          </w:p>
        </w:tc>
        <w:tc>
          <w:tcPr>
            <w:tcW w:w="11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6"/>
              </w:rPr>
              <w:t>$—</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$32,576</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$32,556</w:t>
            </w:r>
          </w:p>
        </w:tc>
        <w:tc>
          <w:tcPr>
            <w:tcW w:w="0" w:type="dxa"/>
            <w:vAlign w:val="bottom"/>
          </w:tcPr>
          <w:p>
            <w:pPr>
              <w:spacing w:after="0"/>
              <w:rPr>
                <w:sz w:val="1"/>
                <w:szCs w:val="1"/>
                <w:color w:val="auto"/>
              </w:rPr>
            </w:pPr>
          </w:p>
        </w:tc>
      </w:tr>
      <w:tr>
        <w:trPr>
          <w:trHeight w:val="229"/>
        </w:trPr>
        <w:tc>
          <w:tcPr>
            <w:tcW w:w="2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 average interest rate</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5.27%</w:t>
            </w:r>
          </w:p>
        </w:tc>
        <w:tc>
          <w:tcPr>
            <w:tcW w:w="100" w:type="dxa"/>
            <w:vAlign w:val="bottom"/>
          </w:tcPr>
          <w:p>
            <w:pPr>
              <w:spacing w:after="0"/>
              <w:rPr>
                <w:sz w:val="19"/>
                <w:szCs w:val="19"/>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w:t>
            </w: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w:t>
            </w: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5.27%</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Revolving line-of-credit</w:t>
            </w: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w:t>
            </w: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w:t>
            </w: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$47,942</w:t>
            </w:r>
          </w:p>
        </w:tc>
        <w:tc>
          <w:tcPr>
            <w:tcW w:w="10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$47,942</w:t>
            </w:r>
          </w:p>
        </w:tc>
        <w:tc>
          <w:tcPr>
            <w:tcW w:w="10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$47,942</w:t>
            </w: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Weighted average interest rate</w:t>
            </w:r>
            <w:r>
              <w:rPr>
                <w:rFonts w:ascii="Times New Roman" w:cs="Times New Roman" w:eastAsia="Times New Roman" w:hAnsi="Times New Roman"/>
                <w:sz w:val="23"/>
                <w:szCs w:val="23"/>
                <w:color w:val="auto"/>
                <w:vertAlign w:val="superscript"/>
              </w:rPr>
              <w:t>1</w:t>
            </w:r>
          </w:p>
        </w:tc>
        <w:tc>
          <w:tcPr>
            <w:tcW w:w="10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S+2.25%</w:t>
            </w:r>
          </w:p>
        </w:tc>
        <w:tc>
          <w:tcPr>
            <w:tcW w:w="10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S+2.25%</w:t>
            </w:r>
          </w:p>
        </w:tc>
        <w:tc>
          <w:tcPr>
            <w:tcW w:w="10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S+2.25%</w:t>
            </w:r>
          </w:p>
        </w:tc>
        <w:tc>
          <w:tcPr>
            <w:tcW w:w="10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S+2.25%</w:t>
            </w:r>
          </w:p>
        </w:tc>
        <w:tc>
          <w:tcPr>
            <w:tcW w:w="10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S+2.25%</w:t>
            </w:r>
          </w:p>
        </w:tc>
        <w:tc>
          <w:tcPr>
            <w:tcW w:w="11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S+2.25%</w:t>
            </w:r>
          </w:p>
        </w:tc>
        <w:tc>
          <w:tcPr>
            <w:tcW w:w="10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S+2.25%</w:t>
            </w: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ind w:left="60"/>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6"/>
          <w:szCs w:val="16"/>
          <w:color w:val="auto"/>
        </w:rPr>
        <w:t>The effective interest rate on this line of credit is SOFR plus a margin of 2.25%, and the rate was 7.59% as of December 31, 2023.</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Commodity Price Exposure</w:t>
      </w:r>
    </w:p>
    <w:p>
      <w:pPr>
        <w:spacing w:after="0" w:line="90"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Farming inventories and accounts receivable are exposed to adverse price fluctuations. Farming inventories consist of farming, cultural, and processing costs associated with crop production. Farming inventory costs are recorded as incurred. Historically, these costs have been recovered through crop sales occurring after harvest.</w:t>
      </w:r>
    </w:p>
    <w:p>
      <w:pPr>
        <w:spacing w:after="0" w:line="5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With respect to accounts receivable, the amount at risk primarily relates to farm crops. These receivables are recorded as estimates of the prices that ultimately will be received for the crops. The final price is generally not known for several months following the close of our fiscal year. Of the $5,593,000 of accounts receivable outstanding at March 31, 2024, $1,689,000 or 30%, pertains to pistachio sales receivables that are at risk to changing prices. Over the previous three years, pistachio prices have fluctuated between $1.62 to $2.14.</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6EBF"/>
        </w:rPr>
        <w:t>ITEM 4. CONTROLS AND PROCEDURES</w:t>
      </w:r>
    </w:p>
    <w:p>
      <w:pPr>
        <w:spacing w:after="0" w:line="121" w:lineRule="exact"/>
        <w:rPr>
          <w:sz w:val="20"/>
          <w:szCs w:val="20"/>
          <w:color w:val="auto"/>
        </w:rPr>
      </w:pPr>
    </w:p>
    <w:p>
      <w:pPr>
        <w:ind w:left="580" w:hanging="572"/>
        <w:spacing w:after="0"/>
        <w:tabs>
          <w:tab w:leader="none" w:pos="5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Evaluation of Disclosure Controls and Procedures</w:t>
      </w:r>
    </w:p>
    <w:p>
      <w:pPr>
        <w:spacing w:after="0" w:line="17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At the end of the period covered by this report, management carried out an evaluation, under the supervision and with the participation of our Chief Executive Officer and Chief Financial Officer, of the effectiveness of the design and operation of our disclosure controls and procedures pursuant to Rules 13a-15 and 15d-15 of the Securities Exchange Act of 1934, as amended, or the Exchange Act. Based upon that evaluation, the Chief Executive Officer and Chief Financial Officer concluded that as of the end of the period covered by this report, our disclosure controls and procedures were effective in ensuring that all information required in the reports we file or submit under the Exchange Act was accumulated and communicated to our management, including our Chief Executive Officer and Chief Financial Officer, as appropriate to allow timely decisions regarding required disclosure and is recorded, processed, summarized and reported within the time period required by the rules and regulations of the SEC.</w:t>
      </w:r>
    </w:p>
    <w:p>
      <w:pPr>
        <w:spacing w:after="0" w:line="81" w:lineRule="exact"/>
        <w:rPr>
          <w:sz w:val="20"/>
          <w:szCs w:val="20"/>
          <w:color w:val="auto"/>
        </w:rPr>
      </w:pPr>
    </w:p>
    <w:p>
      <w:pPr>
        <w:ind w:left="560" w:hanging="552"/>
        <w:spacing w:after="0"/>
        <w:tabs>
          <w:tab w:leader="none" w:pos="5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Internal Control Over Financial Reporting</w:t>
      </w:r>
    </w:p>
    <w:p>
      <w:pPr>
        <w:spacing w:after="0" w:line="171"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identified in connection with the evaluation required by paragraph (d) of Rule 13a-15 or Rule 15d-15 under the Exchange Act that occurred during our last fiscal quarter that has materially affected, or is reasonably likely to materially affect, our internal control over financial reporting.</w:t>
      </w:r>
    </w:p>
    <w:p>
      <w:pPr>
        <w:spacing w:after="0" w:line="200" w:lineRule="exact"/>
        <w:rPr>
          <w:sz w:val="20"/>
          <w:szCs w:val="20"/>
          <w:color w:val="auto"/>
        </w:rPr>
      </w:pPr>
    </w:p>
    <w:p>
      <w:pPr>
        <w:spacing w:after="0" w:line="31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43" w:right="4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6EBF"/>
        </w:rPr>
        <w:t>PART II -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6EBF"/>
        </w:rPr>
        <w:t>Item 1. Legal Proceedings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refer to Note 11 (Commitments and Contingencies) in the Notes to Unaudited Consolidated Financial Statements in this report.</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6EBF"/>
        </w:rPr>
        <w:t>Item 1A. Risk Factors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the risk factors previously disclosed in Part I, Item 1A in our most recent Annual Report on Form 10-K.</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6EBF"/>
        </w:rPr>
        <w:t>Item 2. Unregistered Sales of Equity Securities and Use of Proceeds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6EBF"/>
        </w:rPr>
        <w:t>Item 3. Defaults Upon Senior Securities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6EBF"/>
        </w:rPr>
        <w:t>Item 4. Mine Safety Disclosures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6EBF"/>
        </w:rPr>
        <w:t>Item 5. Other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None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Not applicable.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None.</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300" w:type="dxa"/>
            <w:vAlign w:val="bottom"/>
            <w:tcBorders>
              <w:bottom w:val="single" w:sz="8" w:color="006EBF"/>
            </w:tcBorders>
            <w:gridSpan w:val="2"/>
          </w:tcPr>
          <w:p>
            <w:pPr>
              <w:spacing w:after="0"/>
              <w:rPr>
                <w:sz w:val="20"/>
                <w:szCs w:val="20"/>
                <w:color w:val="auto"/>
              </w:rPr>
            </w:pPr>
            <w:r>
              <w:rPr>
                <w:rFonts w:ascii="Times New Roman" w:cs="Times New Roman" w:eastAsia="Times New Roman" w:hAnsi="Times New Roman"/>
                <w:sz w:val="18"/>
                <w:szCs w:val="18"/>
                <w:b w:val="1"/>
                <w:bCs w:val="1"/>
                <w:color w:val="006EBF"/>
                <w:w w:val="99"/>
              </w:rPr>
              <w:t>Item 6. Exhibits:</w:t>
            </w:r>
          </w:p>
        </w:tc>
        <w:tc>
          <w:tcPr>
            <w:tcW w:w="86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45"/>
        </w:trPr>
        <w:tc>
          <w:tcPr>
            <w:tcW w:w="20" w:type="dxa"/>
            <w:vAlign w:val="bottom"/>
          </w:tcPr>
          <w:p>
            <w:pPr>
              <w:spacing w:after="0"/>
              <w:rPr>
                <w:sz w:val="21"/>
                <w:szCs w:val="21"/>
                <w:color w:val="auto"/>
              </w:rPr>
            </w:pPr>
          </w:p>
        </w:tc>
        <w:tc>
          <w:tcPr>
            <w:tcW w:w="9940" w:type="dxa"/>
            <w:vAlign w:val="bottom"/>
            <w:gridSpan w:val="3"/>
          </w:tcPr>
          <w:p>
            <w:pPr>
              <w:ind w:left="7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3.1   </w:t>
            </w:r>
            <w:hyperlink r:id="rId62">
              <w:r>
                <w:rPr>
                  <w:rFonts w:ascii="Times New Roman" w:cs="Times New Roman" w:eastAsia="Times New Roman" w:hAnsi="Times New Roman"/>
                  <w:sz w:val="18"/>
                  <w:szCs w:val="18"/>
                  <w:color w:val="auto"/>
                </w:rPr>
                <w:t>Restated Certificate of Incorporation</w:t>
              </w:r>
            </w:hyperlink>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1</w:t>
            </w:r>
          </w:p>
        </w:tc>
      </w:tr>
      <w:tr>
        <w:trPr>
          <w:trHeight w:val="230"/>
        </w:trPr>
        <w:tc>
          <w:tcPr>
            <w:tcW w:w="20" w:type="dxa"/>
            <w:vAlign w:val="bottom"/>
          </w:tcPr>
          <w:p>
            <w:pPr>
              <w:spacing w:after="0"/>
              <w:rPr>
                <w:sz w:val="19"/>
                <w:szCs w:val="19"/>
                <w:color w:val="auto"/>
              </w:rPr>
            </w:pPr>
          </w:p>
        </w:tc>
        <w:tc>
          <w:tcPr>
            <w:tcW w:w="9940" w:type="dxa"/>
            <w:vAlign w:val="bottom"/>
            <w:gridSpan w:val="3"/>
          </w:tcPr>
          <w:p>
            <w:pPr>
              <w:ind w:left="7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3.2   </w:t>
            </w:r>
            <w:hyperlink r:id="rId63">
              <w:r>
                <w:rPr>
                  <w:rFonts w:ascii="Times New Roman" w:cs="Times New Roman" w:eastAsia="Times New Roman" w:hAnsi="Times New Roman"/>
                  <w:sz w:val="18"/>
                  <w:szCs w:val="18"/>
                  <w:color w:val="auto"/>
                </w:rPr>
                <w:t>Amended and Restated Bylaws</w:t>
              </w:r>
            </w:hyperlink>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2</w:t>
            </w:r>
          </w:p>
        </w:tc>
      </w:tr>
      <w:tr>
        <w:trPr>
          <w:trHeight w:val="230"/>
        </w:trPr>
        <w:tc>
          <w:tcPr>
            <w:tcW w:w="20" w:type="dxa"/>
            <w:vAlign w:val="bottom"/>
          </w:tcPr>
          <w:p>
            <w:pPr>
              <w:spacing w:after="0"/>
              <w:rPr>
                <w:sz w:val="19"/>
                <w:szCs w:val="19"/>
                <w:color w:val="auto"/>
              </w:rPr>
            </w:pPr>
          </w:p>
        </w:tc>
        <w:tc>
          <w:tcPr>
            <w:tcW w:w="9940" w:type="dxa"/>
            <w:vAlign w:val="bottom"/>
            <w:gridSpan w:val="3"/>
          </w:tcPr>
          <w:p>
            <w:pPr>
              <w:ind w:left="7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4.3   </w:t>
            </w:r>
            <w:hyperlink r:id="rId64">
              <w:r>
                <w:rPr>
                  <w:rFonts w:ascii="Times New Roman" w:cs="Times New Roman" w:eastAsia="Times New Roman" w:hAnsi="Times New Roman"/>
                  <w:sz w:val="18"/>
                  <w:szCs w:val="18"/>
                  <w:color w:val="auto"/>
                </w:rPr>
                <w:t>Registration and Reimbursement Agreement</w:t>
              </w:r>
            </w:hyperlink>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5</w:t>
            </w:r>
          </w:p>
        </w:tc>
      </w:tr>
      <w:tr>
        <w:trPr>
          <w:trHeight w:val="230"/>
        </w:trPr>
        <w:tc>
          <w:tcPr>
            <w:tcW w:w="20" w:type="dxa"/>
            <w:vAlign w:val="bottom"/>
          </w:tcPr>
          <w:p>
            <w:pPr>
              <w:spacing w:after="0"/>
              <w:rPr>
                <w:sz w:val="19"/>
                <w:szCs w:val="19"/>
                <w:color w:val="auto"/>
              </w:rPr>
            </w:pPr>
          </w:p>
        </w:tc>
        <w:tc>
          <w:tcPr>
            <w:tcW w:w="9940" w:type="dxa"/>
            <w:vAlign w:val="bottom"/>
            <w:gridSpan w:val="3"/>
          </w:tcPr>
          <w:p>
            <w:pPr>
              <w:ind w:left="7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4.5   </w:t>
            </w:r>
            <w:hyperlink r:id="rId65">
              <w:r>
                <w:rPr>
                  <w:rFonts w:ascii="Times New Roman" w:cs="Times New Roman" w:eastAsia="Times New Roman" w:hAnsi="Times New Roman"/>
                  <w:sz w:val="18"/>
                  <w:szCs w:val="18"/>
                  <w:color w:val="auto"/>
                </w:rPr>
                <w:t>Form of Indenture for Debt</w:t>
              </w:r>
            </w:hyperlink>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37</w:t>
            </w:r>
          </w:p>
        </w:tc>
      </w:tr>
      <w:tr>
        <w:trPr>
          <w:trHeight w:val="189"/>
        </w:trPr>
        <w:tc>
          <w:tcPr>
            <w:tcW w:w="20" w:type="dxa"/>
            <w:vAlign w:val="bottom"/>
          </w:tcPr>
          <w:p>
            <w:pPr>
              <w:spacing w:after="0"/>
              <w:rPr>
                <w:sz w:val="16"/>
                <w:szCs w:val="16"/>
                <w:color w:val="auto"/>
              </w:rPr>
            </w:pPr>
          </w:p>
        </w:tc>
        <w:tc>
          <w:tcPr>
            <w:tcW w:w="9940" w:type="dxa"/>
            <w:vAlign w:val="bottom"/>
            <w:gridSpan w:val="3"/>
          </w:tcPr>
          <w:p>
            <w:pPr>
              <w:ind w:left="720"/>
              <w:spacing w:after="0" w:line="189" w:lineRule="exact"/>
              <w:rPr>
                <w:sz w:val="20"/>
                <w:szCs w:val="20"/>
                <w:color w:val="auto"/>
              </w:rPr>
            </w:pPr>
            <w:r>
              <w:rPr>
                <w:rFonts w:ascii="Times New Roman" w:cs="Times New Roman" w:eastAsia="Times New Roman" w:hAnsi="Times New Roman"/>
                <w:sz w:val="18"/>
                <w:szCs w:val="18"/>
                <w:color w:val="auto"/>
              </w:rPr>
              <w:t>10.1  Water Service Contract with Wheeler Ridge-Maricopa Water Storage District (without exhibits), amendments</w:t>
            </w:r>
          </w:p>
        </w:tc>
        <w:tc>
          <w:tcPr>
            <w:tcW w:w="1280" w:type="dxa"/>
            <w:vAlign w:val="bottom"/>
          </w:tcPr>
          <w:p>
            <w:pPr>
              <w:spacing w:after="0"/>
              <w:rPr>
                <w:sz w:val="16"/>
                <w:szCs w:val="16"/>
                <w:color w:val="auto"/>
              </w:rPr>
            </w:pPr>
          </w:p>
        </w:tc>
      </w:tr>
      <w:tr>
        <w:trPr>
          <w:trHeight w:val="230"/>
        </w:trPr>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7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originally filed under Item 11 to Registrant's Annual Report on Form 10-K</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6</w:t>
            </w:r>
          </w:p>
        </w:tc>
      </w:tr>
      <w:tr>
        <w:trPr>
          <w:trHeight w:val="230"/>
        </w:trPr>
        <w:tc>
          <w:tcPr>
            <w:tcW w:w="11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10.7</w:t>
            </w:r>
          </w:p>
        </w:tc>
        <w:tc>
          <w:tcPr>
            <w:tcW w:w="8780" w:type="dxa"/>
            <w:vAlign w:val="bottom"/>
            <w:gridSpan w:val="2"/>
          </w:tcPr>
          <w:p>
            <w:pPr>
              <w:ind w:left="80"/>
              <w:spacing w:after="0"/>
              <w:rPr>
                <w:rFonts w:ascii="Times New Roman" w:cs="Times New Roman" w:eastAsia="Times New Roman" w:hAnsi="Times New Roman"/>
                <w:sz w:val="18"/>
                <w:szCs w:val="18"/>
                <w:color w:val="auto"/>
              </w:rPr>
            </w:pPr>
            <w:hyperlink r:id="rId66">
              <w:r>
                <w:rPr>
                  <w:rFonts w:ascii="Times New Roman" w:cs="Times New Roman" w:eastAsia="Times New Roman" w:hAnsi="Times New Roman"/>
                  <w:sz w:val="18"/>
                  <w:szCs w:val="18"/>
                  <w:color w:val="auto"/>
                </w:rPr>
                <w:t>*Severance Agreement</w:t>
              </w:r>
            </w:hyperlink>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7</w:t>
            </w:r>
          </w:p>
        </w:tc>
      </w:tr>
      <w:tr>
        <w:trPr>
          <w:trHeight w:val="229"/>
        </w:trPr>
        <w:tc>
          <w:tcPr>
            <w:tcW w:w="11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10.8</w:t>
            </w:r>
          </w:p>
        </w:tc>
        <w:tc>
          <w:tcPr>
            <w:tcW w:w="8780" w:type="dxa"/>
            <w:vAlign w:val="bottom"/>
            <w:gridSpan w:val="2"/>
          </w:tcPr>
          <w:p>
            <w:pPr>
              <w:ind w:left="80"/>
              <w:spacing w:after="0"/>
              <w:rPr>
                <w:rFonts w:ascii="Times New Roman" w:cs="Times New Roman" w:eastAsia="Times New Roman" w:hAnsi="Times New Roman"/>
                <w:sz w:val="18"/>
                <w:szCs w:val="18"/>
                <w:color w:val="auto"/>
              </w:rPr>
            </w:pPr>
            <w:hyperlink r:id="rId66">
              <w:r>
                <w:rPr>
                  <w:rFonts w:ascii="Times New Roman" w:cs="Times New Roman" w:eastAsia="Times New Roman" w:hAnsi="Times New Roman"/>
                  <w:sz w:val="18"/>
                  <w:szCs w:val="18"/>
                  <w:color w:val="auto"/>
                </w:rPr>
                <w:t>*Director Compensation Plan</w:t>
              </w:r>
            </w:hyperlink>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7</w:t>
            </w:r>
          </w:p>
        </w:tc>
      </w:tr>
      <w:tr>
        <w:trPr>
          <w:trHeight w:val="234"/>
        </w:trPr>
        <w:tc>
          <w:tcPr>
            <w:tcW w:w="20" w:type="dxa"/>
            <w:vAlign w:val="bottom"/>
          </w:tcPr>
          <w:p>
            <w:pPr>
              <w:spacing w:after="0"/>
              <w:rPr>
                <w:sz w:val="20"/>
                <w:szCs w:val="20"/>
                <w:color w:val="auto"/>
              </w:rPr>
            </w:pPr>
          </w:p>
        </w:tc>
        <w:tc>
          <w:tcPr>
            <w:tcW w:w="9940" w:type="dxa"/>
            <w:vAlign w:val="bottom"/>
            <w:gridSpan w:val="3"/>
          </w:tcPr>
          <w:p>
            <w:pPr>
              <w:ind w:left="7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10.9  </w:t>
            </w:r>
            <w:hyperlink r:id="rId67">
              <w:r>
                <w:rPr>
                  <w:rFonts w:ascii="Times New Roman" w:cs="Times New Roman" w:eastAsia="Times New Roman" w:hAnsi="Times New Roman"/>
                  <w:sz w:val="18"/>
                  <w:szCs w:val="18"/>
                  <w:color w:val="auto"/>
                </w:rPr>
                <w:t>*Amended and Restated Non-Employee Director Stock Incentive Plan</w:t>
              </w:r>
            </w:hyperlink>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8</w:t>
            </w:r>
          </w:p>
        </w:tc>
      </w:tr>
      <w:tr>
        <w:trPr>
          <w:trHeight w:val="346"/>
        </w:trPr>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8780" w:type="dxa"/>
            <w:vAlign w:val="bottom"/>
            <w:gridSpan w:val="2"/>
          </w:tcPr>
          <w:p>
            <w:pPr>
              <w:ind w:left="80"/>
              <w:spacing w:after="0"/>
              <w:rPr>
                <w:rFonts w:ascii="Times New Roman" w:cs="Times New Roman" w:eastAsia="Times New Roman" w:hAnsi="Times New Roman"/>
                <w:sz w:val="18"/>
                <w:szCs w:val="18"/>
                <w:color w:val="auto"/>
              </w:rPr>
            </w:pPr>
            <w:hyperlink r:id="rId66">
              <w:r>
                <w:rPr>
                  <w:rFonts w:ascii="Times New Roman" w:cs="Times New Roman" w:eastAsia="Times New Roman" w:hAnsi="Times New Roman"/>
                  <w:sz w:val="18"/>
                  <w:szCs w:val="18"/>
                  <w:color w:val="auto"/>
                </w:rPr>
                <w:t>*Stock Option Agreement Pursuant to the Non-Employee Director Stock Incentive Plan</w:t>
              </w:r>
            </w:hyperlink>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7</w:t>
            </w:r>
          </w:p>
        </w:tc>
      </w:tr>
      <w:tr>
        <w:trPr>
          <w:trHeight w:val="229"/>
        </w:trPr>
        <w:tc>
          <w:tcPr>
            <w:tcW w:w="11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10.10</w:t>
            </w:r>
          </w:p>
        </w:tc>
        <w:tc>
          <w:tcPr>
            <w:tcW w:w="8780" w:type="dxa"/>
            <w:vAlign w:val="bottom"/>
            <w:gridSpan w:val="2"/>
          </w:tcPr>
          <w:p>
            <w:pPr>
              <w:ind w:left="80"/>
              <w:spacing w:after="0"/>
              <w:rPr>
                <w:rFonts w:ascii="Times New Roman" w:cs="Times New Roman" w:eastAsia="Times New Roman" w:hAnsi="Times New Roman"/>
                <w:sz w:val="18"/>
                <w:szCs w:val="18"/>
                <w:color w:val="auto"/>
              </w:rPr>
            </w:pPr>
            <w:hyperlink r:id="rId68">
              <w:r>
                <w:rPr>
                  <w:rFonts w:ascii="Times New Roman" w:cs="Times New Roman" w:eastAsia="Times New Roman" w:hAnsi="Times New Roman"/>
                  <w:sz w:val="18"/>
                  <w:szCs w:val="18"/>
                  <w:color w:val="auto"/>
                </w:rPr>
                <w:t>*Amended and Restated 1998 Stock Incentive Plan</w:t>
              </w:r>
            </w:hyperlink>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9</w:t>
            </w:r>
          </w:p>
        </w:tc>
      </w:tr>
      <w:tr>
        <w:trPr>
          <w:trHeight w:val="230"/>
        </w:trPr>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10.10(1)</w:t>
            </w:r>
          </w:p>
        </w:tc>
        <w:tc>
          <w:tcPr>
            <w:tcW w:w="8780" w:type="dxa"/>
            <w:vAlign w:val="bottom"/>
            <w:gridSpan w:val="2"/>
          </w:tcPr>
          <w:p>
            <w:pPr>
              <w:ind w:left="80"/>
              <w:spacing w:after="0"/>
              <w:rPr>
                <w:rFonts w:ascii="Times New Roman" w:cs="Times New Roman" w:eastAsia="Times New Roman" w:hAnsi="Times New Roman"/>
                <w:sz w:val="18"/>
                <w:szCs w:val="18"/>
                <w:color w:val="auto"/>
              </w:rPr>
            </w:pPr>
            <w:hyperlink r:id="rId66">
              <w:r>
                <w:rPr>
                  <w:rFonts w:ascii="Times New Roman" w:cs="Times New Roman" w:eastAsia="Times New Roman" w:hAnsi="Times New Roman"/>
                  <w:sz w:val="18"/>
                  <w:szCs w:val="18"/>
                  <w:color w:val="auto"/>
                </w:rPr>
                <w:t>*Stock Option Agreement Pursuant to the 1998 Stock Incentive Plan</w:t>
              </w:r>
            </w:hyperlink>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7</w:t>
            </w:r>
          </w:p>
        </w:tc>
      </w:tr>
      <w:tr>
        <w:trPr>
          <w:trHeight w:val="230"/>
        </w:trPr>
        <w:tc>
          <w:tcPr>
            <w:tcW w:w="11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10.12</w:t>
            </w:r>
          </w:p>
        </w:tc>
        <w:tc>
          <w:tcPr>
            <w:tcW w:w="8780" w:type="dxa"/>
            <w:vAlign w:val="bottom"/>
            <w:gridSpan w:val="2"/>
          </w:tcPr>
          <w:p>
            <w:pPr>
              <w:ind w:left="80"/>
              <w:spacing w:after="0"/>
              <w:rPr>
                <w:rFonts w:ascii="Times New Roman" w:cs="Times New Roman" w:eastAsia="Times New Roman" w:hAnsi="Times New Roman"/>
                <w:sz w:val="18"/>
                <w:szCs w:val="18"/>
                <w:color w:val="auto"/>
              </w:rPr>
            </w:pPr>
            <w:hyperlink r:id="rId69">
              <w:r>
                <w:rPr>
                  <w:rFonts w:ascii="Times New Roman" w:cs="Times New Roman" w:eastAsia="Times New Roman" w:hAnsi="Times New Roman"/>
                  <w:sz w:val="18"/>
                  <w:szCs w:val="18"/>
                  <w:color w:val="auto"/>
                </w:rPr>
                <w:t>Ground Lease with Pastoria Energy Facility L.L.C.</w:t>
              </w:r>
            </w:hyperlink>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10</w:t>
            </w:r>
          </w:p>
        </w:tc>
      </w:tr>
      <w:tr>
        <w:trPr>
          <w:trHeight w:val="230"/>
        </w:trPr>
        <w:tc>
          <w:tcPr>
            <w:tcW w:w="11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10.15</w:t>
            </w:r>
          </w:p>
        </w:tc>
        <w:tc>
          <w:tcPr>
            <w:tcW w:w="8780" w:type="dxa"/>
            <w:vAlign w:val="bottom"/>
            <w:gridSpan w:val="2"/>
          </w:tcPr>
          <w:p>
            <w:pPr>
              <w:ind w:left="80"/>
              <w:spacing w:after="0"/>
              <w:rPr>
                <w:rFonts w:ascii="Times New Roman" w:cs="Times New Roman" w:eastAsia="Times New Roman" w:hAnsi="Times New Roman"/>
                <w:sz w:val="18"/>
                <w:szCs w:val="18"/>
                <w:color w:val="auto"/>
              </w:rPr>
            </w:pPr>
            <w:hyperlink r:id="rId70">
              <w:r>
                <w:rPr>
                  <w:rFonts w:ascii="Times New Roman" w:cs="Times New Roman" w:eastAsia="Times New Roman" w:hAnsi="Times New Roman"/>
                  <w:sz w:val="18"/>
                  <w:szCs w:val="18"/>
                  <w:color w:val="auto"/>
                </w:rPr>
                <w:t>Form of Securities Purchase Agreement</w:t>
              </w:r>
            </w:hyperlink>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11</w:t>
            </w:r>
          </w:p>
        </w:tc>
      </w:tr>
      <w:tr>
        <w:trPr>
          <w:trHeight w:val="229"/>
        </w:trPr>
        <w:tc>
          <w:tcPr>
            <w:tcW w:w="11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10.16</w:t>
            </w:r>
          </w:p>
        </w:tc>
        <w:tc>
          <w:tcPr>
            <w:tcW w:w="8780" w:type="dxa"/>
            <w:vAlign w:val="bottom"/>
            <w:gridSpan w:val="2"/>
          </w:tcPr>
          <w:p>
            <w:pPr>
              <w:ind w:left="80"/>
              <w:spacing w:after="0"/>
              <w:rPr>
                <w:rFonts w:ascii="Times New Roman" w:cs="Times New Roman" w:eastAsia="Times New Roman" w:hAnsi="Times New Roman"/>
                <w:sz w:val="18"/>
                <w:szCs w:val="18"/>
                <w:color w:val="auto"/>
              </w:rPr>
            </w:pPr>
            <w:hyperlink r:id="rId71">
              <w:r>
                <w:rPr>
                  <w:rFonts w:ascii="Times New Roman" w:cs="Times New Roman" w:eastAsia="Times New Roman" w:hAnsi="Times New Roman"/>
                  <w:sz w:val="18"/>
                  <w:szCs w:val="18"/>
                  <w:color w:val="auto"/>
                </w:rPr>
                <w:t>Form of Registration Rights Agreement</w:t>
              </w:r>
            </w:hyperlink>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12</w:t>
            </w:r>
          </w:p>
        </w:tc>
      </w:tr>
      <w:tr>
        <w:trPr>
          <w:trHeight w:val="230"/>
        </w:trPr>
        <w:tc>
          <w:tcPr>
            <w:tcW w:w="11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10.17</w:t>
            </w:r>
          </w:p>
        </w:tc>
        <w:tc>
          <w:tcPr>
            <w:tcW w:w="8780" w:type="dxa"/>
            <w:vAlign w:val="bottom"/>
            <w:gridSpan w:val="2"/>
          </w:tcPr>
          <w:p>
            <w:pPr>
              <w:ind w:left="80"/>
              <w:spacing w:after="0"/>
              <w:rPr>
                <w:rFonts w:ascii="Times New Roman" w:cs="Times New Roman" w:eastAsia="Times New Roman" w:hAnsi="Times New Roman"/>
                <w:sz w:val="18"/>
                <w:szCs w:val="18"/>
                <w:color w:val="auto"/>
              </w:rPr>
            </w:pPr>
            <w:hyperlink r:id="rId72">
              <w:r>
                <w:rPr>
                  <w:rFonts w:ascii="Times New Roman" w:cs="Times New Roman" w:eastAsia="Times New Roman" w:hAnsi="Times New Roman"/>
                  <w:sz w:val="18"/>
                  <w:szCs w:val="18"/>
                  <w:color w:val="auto"/>
                </w:rPr>
                <w:t>*2004 Stock Incentive Program</w:t>
              </w:r>
            </w:hyperlink>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13</w:t>
            </w:r>
          </w:p>
        </w:tc>
      </w:tr>
      <w:tr>
        <w:trPr>
          <w:trHeight w:val="230"/>
        </w:trPr>
        <w:tc>
          <w:tcPr>
            <w:tcW w:w="11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10.18</w:t>
            </w:r>
          </w:p>
        </w:tc>
        <w:tc>
          <w:tcPr>
            <w:tcW w:w="8780" w:type="dxa"/>
            <w:vAlign w:val="bottom"/>
            <w:gridSpan w:val="2"/>
          </w:tcPr>
          <w:p>
            <w:pPr>
              <w:ind w:left="80"/>
              <w:spacing w:after="0"/>
              <w:rPr>
                <w:rFonts w:ascii="Times New Roman" w:cs="Times New Roman" w:eastAsia="Times New Roman" w:hAnsi="Times New Roman"/>
                <w:sz w:val="18"/>
                <w:szCs w:val="18"/>
                <w:color w:val="auto"/>
              </w:rPr>
            </w:pPr>
            <w:hyperlink r:id="rId73">
              <w:r>
                <w:rPr>
                  <w:rFonts w:ascii="Times New Roman" w:cs="Times New Roman" w:eastAsia="Times New Roman" w:hAnsi="Times New Roman"/>
                  <w:sz w:val="18"/>
                  <w:szCs w:val="18"/>
                  <w:color w:val="auto"/>
                </w:rPr>
                <w:t>*Form of Restricted Stock Agreement for Directors</w:t>
              </w:r>
            </w:hyperlink>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13</w:t>
            </w:r>
          </w:p>
        </w:tc>
      </w:tr>
      <w:tr>
        <w:trPr>
          <w:trHeight w:val="230"/>
        </w:trPr>
        <w:tc>
          <w:tcPr>
            <w:tcW w:w="11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10.19</w:t>
            </w:r>
          </w:p>
        </w:tc>
        <w:tc>
          <w:tcPr>
            <w:tcW w:w="8780" w:type="dxa"/>
            <w:vAlign w:val="bottom"/>
            <w:gridSpan w:val="2"/>
          </w:tcPr>
          <w:p>
            <w:pPr>
              <w:ind w:left="80"/>
              <w:spacing w:after="0"/>
              <w:rPr>
                <w:rFonts w:ascii="Times New Roman" w:cs="Times New Roman" w:eastAsia="Times New Roman" w:hAnsi="Times New Roman"/>
                <w:sz w:val="18"/>
                <w:szCs w:val="18"/>
                <w:color w:val="auto"/>
              </w:rPr>
            </w:pPr>
            <w:hyperlink r:id="rId74">
              <w:r>
                <w:rPr>
                  <w:rFonts w:ascii="Times New Roman" w:cs="Times New Roman" w:eastAsia="Times New Roman" w:hAnsi="Times New Roman"/>
                  <w:sz w:val="18"/>
                  <w:szCs w:val="18"/>
                  <w:color w:val="auto"/>
                </w:rPr>
                <w:t>*Form of Restricted Stock Unit Agreement</w:t>
              </w:r>
            </w:hyperlink>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13</w:t>
            </w:r>
          </w:p>
        </w:tc>
      </w:tr>
      <w:tr>
        <w:trPr>
          <w:trHeight w:val="229"/>
        </w:trPr>
        <w:tc>
          <w:tcPr>
            <w:tcW w:w="11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10.23</w:t>
            </w:r>
          </w:p>
        </w:tc>
        <w:tc>
          <w:tcPr>
            <w:tcW w:w="8780" w:type="dxa"/>
            <w:vAlign w:val="bottom"/>
            <w:gridSpan w:val="2"/>
          </w:tcPr>
          <w:p>
            <w:pPr>
              <w:ind w:left="80"/>
              <w:spacing w:after="0"/>
              <w:rPr>
                <w:rFonts w:ascii="Times New Roman" w:cs="Times New Roman" w:eastAsia="Times New Roman" w:hAnsi="Times New Roman"/>
                <w:sz w:val="18"/>
                <w:szCs w:val="18"/>
                <w:color w:val="auto"/>
              </w:rPr>
            </w:pPr>
            <w:hyperlink r:id="rId75">
              <w:r>
                <w:rPr>
                  <w:rFonts w:ascii="Times New Roman" w:cs="Times New Roman" w:eastAsia="Times New Roman" w:hAnsi="Times New Roman"/>
                  <w:sz w:val="18"/>
                  <w:szCs w:val="18"/>
                  <w:color w:val="auto"/>
                </w:rPr>
                <w:t>Limited Liability Company Agreement of Tejon Mountain Village LLC</w:t>
              </w:r>
            </w:hyperlink>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14</w:t>
            </w:r>
          </w:p>
        </w:tc>
      </w:tr>
      <w:tr>
        <w:trPr>
          <w:trHeight w:val="230"/>
        </w:trPr>
        <w:tc>
          <w:tcPr>
            <w:tcW w:w="11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10.24</w:t>
            </w:r>
          </w:p>
        </w:tc>
        <w:tc>
          <w:tcPr>
            <w:tcW w:w="8780" w:type="dxa"/>
            <w:vAlign w:val="bottom"/>
            <w:gridSpan w:val="2"/>
          </w:tcPr>
          <w:p>
            <w:pPr>
              <w:ind w:left="80"/>
              <w:spacing w:after="0"/>
              <w:rPr>
                <w:rFonts w:ascii="Times New Roman" w:cs="Times New Roman" w:eastAsia="Times New Roman" w:hAnsi="Times New Roman"/>
                <w:sz w:val="18"/>
                <w:szCs w:val="18"/>
                <w:color w:val="auto"/>
              </w:rPr>
            </w:pPr>
            <w:hyperlink r:id="rId76">
              <w:r>
                <w:rPr>
                  <w:rFonts w:ascii="Times New Roman" w:cs="Times New Roman" w:eastAsia="Times New Roman" w:hAnsi="Times New Roman"/>
                  <w:sz w:val="18"/>
                  <w:szCs w:val="18"/>
                  <w:color w:val="auto"/>
                </w:rPr>
                <w:t>Tejon Ranch Conservation and Land Use Agreement</w:t>
              </w:r>
            </w:hyperlink>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15</w:t>
            </w:r>
          </w:p>
        </w:tc>
      </w:tr>
      <w:tr>
        <w:trPr>
          <w:trHeight w:val="230"/>
        </w:trPr>
        <w:tc>
          <w:tcPr>
            <w:tcW w:w="11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10.25</w:t>
            </w:r>
          </w:p>
        </w:tc>
        <w:tc>
          <w:tcPr>
            <w:tcW w:w="8780" w:type="dxa"/>
            <w:vAlign w:val="bottom"/>
            <w:gridSpan w:val="2"/>
          </w:tcPr>
          <w:p>
            <w:pPr>
              <w:ind w:left="80"/>
              <w:spacing w:after="0"/>
              <w:rPr>
                <w:rFonts w:ascii="Times New Roman" w:cs="Times New Roman" w:eastAsia="Times New Roman" w:hAnsi="Times New Roman"/>
                <w:sz w:val="18"/>
                <w:szCs w:val="18"/>
                <w:color w:val="auto"/>
              </w:rPr>
            </w:pPr>
            <w:hyperlink r:id="rId77">
              <w:r>
                <w:rPr>
                  <w:rFonts w:ascii="Times New Roman" w:cs="Times New Roman" w:eastAsia="Times New Roman" w:hAnsi="Times New Roman"/>
                  <w:sz w:val="18"/>
                  <w:szCs w:val="18"/>
                  <w:color w:val="auto"/>
                </w:rPr>
                <w:t>Second Amended and Restated Limited Liability Agreement of Centennial Founders, LLC</w:t>
              </w:r>
            </w:hyperlink>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16</w:t>
            </w:r>
          </w:p>
        </w:tc>
      </w:tr>
      <w:tr>
        <w:trPr>
          <w:trHeight w:val="230"/>
        </w:trPr>
        <w:tc>
          <w:tcPr>
            <w:tcW w:w="11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10.26</w:t>
            </w:r>
          </w:p>
        </w:tc>
        <w:tc>
          <w:tcPr>
            <w:tcW w:w="8780" w:type="dxa"/>
            <w:vAlign w:val="bottom"/>
            <w:gridSpan w:val="2"/>
          </w:tcPr>
          <w:p>
            <w:pPr>
              <w:ind w:left="80"/>
              <w:spacing w:after="0"/>
              <w:rPr>
                <w:rFonts w:ascii="Times New Roman" w:cs="Times New Roman" w:eastAsia="Times New Roman" w:hAnsi="Times New Roman"/>
                <w:sz w:val="18"/>
                <w:szCs w:val="18"/>
                <w:color w:val="auto"/>
              </w:rPr>
            </w:pPr>
            <w:hyperlink r:id="rId78">
              <w:r>
                <w:rPr>
                  <w:rFonts w:ascii="Times New Roman" w:cs="Times New Roman" w:eastAsia="Times New Roman" w:hAnsi="Times New Roman"/>
                  <w:sz w:val="18"/>
                  <w:szCs w:val="18"/>
                  <w:color w:val="auto"/>
                </w:rPr>
                <w:t>*Executive Employment Agreement - Allen E. Lyda</w:t>
              </w:r>
            </w:hyperlink>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17</w:t>
            </w:r>
          </w:p>
        </w:tc>
      </w:tr>
      <w:tr>
        <w:trPr>
          <w:trHeight w:val="229"/>
        </w:trPr>
        <w:tc>
          <w:tcPr>
            <w:tcW w:w="11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10.27</w:t>
            </w:r>
          </w:p>
        </w:tc>
        <w:tc>
          <w:tcPr>
            <w:tcW w:w="8780" w:type="dxa"/>
            <w:vAlign w:val="bottom"/>
            <w:gridSpan w:val="2"/>
          </w:tcPr>
          <w:p>
            <w:pPr>
              <w:ind w:left="80"/>
              <w:spacing w:after="0"/>
              <w:rPr>
                <w:rFonts w:ascii="Times New Roman" w:cs="Times New Roman" w:eastAsia="Times New Roman" w:hAnsi="Times New Roman"/>
                <w:sz w:val="18"/>
                <w:szCs w:val="18"/>
                <w:color w:val="auto"/>
              </w:rPr>
            </w:pPr>
            <w:hyperlink r:id="rId79">
              <w:r>
                <w:rPr>
                  <w:rFonts w:ascii="Times New Roman" w:cs="Times New Roman" w:eastAsia="Times New Roman" w:hAnsi="Times New Roman"/>
                  <w:sz w:val="18"/>
                  <w:szCs w:val="18"/>
                  <w:color w:val="auto"/>
                </w:rPr>
                <w:t>Limited Liability Company Agreement of TRCC/Rock Outlet Center LLC</w:t>
              </w:r>
            </w:hyperlink>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18</w:t>
            </w:r>
          </w:p>
        </w:tc>
      </w:tr>
      <w:tr>
        <w:trPr>
          <w:trHeight w:val="230"/>
        </w:trPr>
        <w:tc>
          <w:tcPr>
            <w:tcW w:w="11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10.28</w:t>
            </w:r>
          </w:p>
        </w:tc>
        <w:tc>
          <w:tcPr>
            <w:tcW w:w="8780" w:type="dxa"/>
            <w:vAlign w:val="bottom"/>
            <w:gridSpan w:val="2"/>
          </w:tcPr>
          <w:p>
            <w:pPr>
              <w:ind w:left="80"/>
              <w:spacing w:after="0"/>
              <w:rPr>
                <w:rFonts w:ascii="Times New Roman" w:cs="Times New Roman" w:eastAsia="Times New Roman" w:hAnsi="Times New Roman"/>
                <w:sz w:val="18"/>
                <w:szCs w:val="18"/>
                <w:color w:val="auto"/>
              </w:rPr>
            </w:pPr>
            <w:hyperlink r:id="rId80">
              <w:r>
                <w:rPr>
                  <w:rFonts w:ascii="Times New Roman" w:cs="Times New Roman" w:eastAsia="Times New Roman" w:hAnsi="Times New Roman"/>
                  <w:sz w:val="18"/>
                  <w:szCs w:val="18"/>
                  <w:color w:val="auto"/>
                </w:rPr>
                <w:t>Warrant Agreement</w:t>
              </w:r>
            </w:hyperlink>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19</w:t>
            </w:r>
          </w:p>
        </w:tc>
      </w:tr>
      <w:tr>
        <w:trPr>
          <w:trHeight w:val="234"/>
        </w:trPr>
        <w:tc>
          <w:tcPr>
            <w:tcW w:w="11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10.29</w:t>
            </w:r>
          </w:p>
        </w:tc>
        <w:tc>
          <w:tcPr>
            <w:tcW w:w="8780" w:type="dxa"/>
            <w:vAlign w:val="bottom"/>
            <w:gridSpan w:val="2"/>
          </w:tcPr>
          <w:p>
            <w:pPr>
              <w:ind w:left="80"/>
              <w:spacing w:after="0"/>
              <w:rPr>
                <w:rFonts w:ascii="Times New Roman" w:cs="Times New Roman" w:eastAsia="Times New Roman" w:hAnsi="Times New Roman"/>
                <w:sz w:val="18"/>
                <w:szCs w:val="18"/>
                <w:color w:val="auto"/>
              </w:rPr>
            </w:pPr>
            <w:hyperlink r:id="rId81">
              <w:r>
                <w:rPr>
                  <w:rFonts w:ascii="Times New Roman" w:cs="Times New Roman" w:eastAsia="Times New Roman" w:hAnsi="Times New Roman"/>
                  <w:sz w:val="18"/>
                  <w:szCs w:val="18"/>
                  <w:color w:val="auto"/>
                </w:rPr>
                <w:t>Amendments to Limited Liability Company Agreement of Tejon Mountain Village LLC</w:t>
              </w:r>
            </w:hyperlink>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20</w:t>
            </w:r>
          </w:p>
        </w:tc>
      </w:tr>
      <w:tr>
        <w:trPr>
          <w:trHeight w:val="864"/>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780" w:type="dxa"/>
            <w:vAlign w:val="bottom"/>
            <w:gridSpan w:val="2"/>
          </w:tcPr>
          <w:p>
            <w:pPr>
              <w:ind w:left="4360"/>
              <w:spacing w:after="0"/>
              <w:rPr>
                <w:sz w:val="20"/>
                <w:szCs w:val="20"/>
                <w:color w:val="auto"/>
              </w:rPr>
            </w:pPr>
            <w:r>
              <w:rPr>
                <w:rFonts w:ascii="Times New Roman" w:cs="Times New Roman" w:eastAsia="Times New Roman" w:hAnsi="Times New Roman"/>
                <w:sz w:val="18"/>
                <w:szCs w:val="18"/>
                <w:color w:val="auto"/>
              </w:rPr>
              <w:t>45</w:t>
            </w:r>
          </w:p>
        </w:tc>
        <w:tc>
          <w:tcPr>
            <w:tcW w:w="128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64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45" w:name="page46"/>
    <w:bookmarkEnd w:id="45"/>
    <w:tbl>
      <w:tblPr>
        <w:tblLayout w:type="fixed"/>
        <w:tblInd w:w="440" w:type="dxa"/>
        <w:tblCellMar>
          <w:top w:w="0" w:type="dxa"/>
          <w:left w:w="0" w:type="dxa"/>
          <w:bottom w:w="0" w:type="dxa"/>
          <w:right w:w="0" w:type="dxa"/>
        </w:tblCellMar>
      </w:tblPr>
      <w:tr>
        <w:trPr>
          <w:trHeight w:val="230"/>
        </w:trPr>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10.30</w:t>
            </w:r>
          </w:p>
        </w:tc>
        <w:tc>
          <w:tcPr>
            <w:tcW w:w="8720" w:type="dxa"/>
            <w:vAlign w:val="bottom"/>
          </w:tcPr>
          <w:p>
            <w:pPr>
              <w:ind w:left="60"/>
              <w:spacing w:after="0"/>
              <w:rPr>
                <w:rFonts w:ascii="Times New Roman" w:cs="Times New Roman" w:eastAsia="Times New Roman" w:hAnsi="Times New Roman"/>
                <w:sz w:val="18"/>
                <w:szCs w:val="18"/>
                <w:color w:val="auto"/>
              </w:rPr>
            </w:pPr>
            <w:hyperlink r:id="rId84">
              <w:r>
                <w:rPr>
                  <w:rFonts w:ascii="Times New Roman" w:cs="Times New Roman" w:eastAsia="Times New Roman" w:hAnsi="Times New Roman"/>
                  <w:sz w:val="18"/>
                  <w:szCs w:val="18"/>
                  <w:color w:val="auto"/>
                </w:rPr>
                <w:t>Membership Interest Purchase Agreement - Tejon Mountain Village LLC</w:t>
              </w:r>
            </w:hyperlink>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21</w:t>
            </w:r>
          </w:p>
        </w:tc>
      </w:tr>
      <w:tr>
        <w:trPr>
          <w:trHeight w:val="229"/>
        </w:trPr>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10.31</w:t>
            </w:r>
          </w:p>
        </w:tc>
        <w:tc>
          <w:tcPr>
            <w:tcW w:w="8720" w:type="dxa"/>
            <w:vAlign w:val="bottom"/>
          </w:tcPr>
          <w:p>
            <w:pPr>
              <w:ind w:left="60"/>
              <w:spacing w:after="0"/>
              <w:rPr>
                <w:rFonts w:ascii="Times New Roman" w:cs="Times New Roman" w:eastAsia="Times New Roman" w:hAnsi="Times New Roman"/>
                <w:sz w:val="18"/>
                <w:szCs w:val="18"/>
                <w:color w:val="auto"/>
              </w:rPr>
            </w:pPr>
            <w:hyperlink r:id="rId85">
              <w:r>
                <w:rPr>
                  <w:rFonts w:ascii="Times New Roman" w:cs="Times New Roman" w:eastAsia="Times New Roman" w:hAnsi="Times New Roman"/>
                  <w:sz w:val="18"/>
                  <w:szCs w:val="18"/>
                  <w:color w:val="auto"/>
                </w:rPr>
                <w:t>Amended and Restated Credit Agreement</w:t>
              </w:r>
            </w:hyperlink>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22</w:t>
            </w:r>
          </w:p>
        </w:tc>
      </w:tr>
      <w:tr>
        <w:trPr>
          <w:trHeight w:val="230"/>
        </w:trPr>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10.32</w:t>
            </w:r>
          </w:p>
        </w:tc>
        <w:tc>
          <w:tcPr>
            <w:tcW w:w="8720" w:type="dxa"/>
            <w:vAlign w:val="bottom"/>
          </w:tcPr>
          <w:p>
            <w:pPr>
              <w:ind w:left="60"/>
              <w:spacing w:after="0"/>
              <w:rPr>
                <w:rFonts w:ascii="Times New Roman" w:cs="Times New Roman" w:eastAsia="Times New Roman" w:hAnsi="Times New Roman"/>
                <w:sz w:val="18"/>
                <w:szCs w:val="18"/>
                <w:color w:val="auto"/>
              </w:rPr>
            </w:pPr>
            <w:hyperlink r:id="rId86">
              <w:r>
                <w:rPr>
                  <w:rFonts w:ascii="Times New Roman" w:cs="Times New Roman" w:eastAsia="Times New Roman" w:hAnsi="Times New Roman"/>
                  <w:sz w:val="18"/>
                  <w:szCs w:val="18"/>
                  <w:color w:val="auto"/>
                </w:rPr>
                <w:t>Term Note</w:t>
              </w:r>
            </w:hyperlink>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25</w:t>
            </w:r>
          </w:p>
        </w:tc>
      </w:tr>
      <w:tr>
        <w:trPr>
          <w:trHeight w:val="229"/>
        </w:trPr>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10.33</w:t>
            </w:r>
          </w:p>
        </w:tc>
        <w:tc>
          <w:tcPr>
            <w:tcW w:w="8720" w:type="dxa"/>
            <w:vAlign w:val="bottom"/>
          </w:tcPr>
          <w:p>
            <w:pPr>
              <w:ind w:left="60"/>
              <w:spacing w:after="0"/>
              <w:rPr>
                <w:rFonts w:ascii="Times New Roman" w:cs="Times New Roman" w:eastAsia="Times New Roman" w:hAnsi="Times New Roman"/>
                <w:sz w:val="18"/>
                <w:szCs w:val="18"/>
                <w:color w:val="auto"/>
              </w:rPr>
            </w:pPr>
            <w:hyperlink r:id="rId87">
              <w:r>
                <w:rPr>
                  <w:rFonts w:ascii="Times New Roman" w:cs="Times New Roman" w:eastAsia="Times New Roman" w:hAnsi="Times New Roman"/>
                  <w:sz w:val="18"/>
                  <w:szCs w:val="18"/>
                  <w:color w:val="auto"/>
                </w:rPr>
                <w:t>Revolving Line of Credit</w:t>
              </w:r>
            </w:hyperlink>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36</w:t>
            </w:r>
          </w:p>
        </w:tc>
      </w:tr>
      <w:tr>
        <w:trPr>
          <w:trHeight w:val="229"/>
        </w:trPr>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10.34</w:t>
            </w:r>
          </w:p>
        </w:tc>
        <w:tc>
          <w:tcPr>
            <w:tcW w:w="8720" w:type="dxa"/>
            <w:vAlign w:val="bottom"/>
          </w:tcPr>
          <w:p>
            <w:pPr>
              <w:ind w:left="60"/>
              <w:spacing w:after="0"/>
              <w:rPr>
                <w:rFonts w:ascii="Times New Roman" w:cs="Times New Roman" w:eastAsia="Times New Roman" w:hAnsi="Times New Roman"/>
                <w:sz w:val="18"/>
                <w:szCs w:val="18"/>
                <w:color w:val="auto"/>
              </w:rPr>
            </w:pPr>
            <w:hyperlink r:id="rId88">
              <w:r>
                <w:rPr>
                  <w:rFonts w:ascii="Times New Roman" w:cs="Times New Roman" w:eastAsia="Times New Roman" w:hAnsi="Times New Roman"/>
                  <w:sz w:val="18"/>
                  <w:szCs w:val="18"/>
                  <w:color w:val="auto"/>
                </w:rPr>
                <w:t>Amendments to Lease Agreement with Pastoria Energy Facility L.L.C.</w:t>
              </w:r>
            </w:hyperlink>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23</w:t>
            </w:r>
          </w:p>
        </w:tc>
      </w:tr>
      <w:tr>
        <w:trPr>
          <w:trHeight w:val="230"/>
        </w:trPr>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10.35</w:t>
            </w:r>
          </w:p>
        </w:tc>
        <w:tc>
          <w:tcPr>
            <w:tcW w:w="8720" w:type="dxa"/>
            <w:vAlign w:val="bottom"/>
          </w:tcPr>
          <w:p>
            <w:pPr>
              <w:ind w:left="60"/>
              <w:spacing w:after="0"/>
              <w:rPr>
                <w:rFonts w:ascii="Times New Roman" w:cs="Times New Roman" w:eastAsia="Times New Roman" w:hAnsi="Times New Roman"/>
                <w:sz w:val="18"/>
                <w:szCs w:val="18"/>
                <w:color w:val="auto"/>
              </w:rPr>
            </w:pPr>
            <w:hyperlink r:id="rId89">
              <w:r>
                <w:rPr>
                  <w:rFonts w:ascii="Times New Roman" w:cs="Times New Roman" w:eastAsia="Times New Roman" w:hAnsi="Times New Roman"/>
                  <w:sz w:val="18"/>
                  <w:szCs w:val="18"/>
                  <w:color w:val="auto"/>
                </w:rPr>
                <w:t>Water Supply Agreement with Pastoria Energy Facility L.L.C.</w:t>
              </w:r>
            </w:hyperlink>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24</w:t>
            </w:r>
          </w:p>
        </w:tc>
      </w:tr>
      <w:tr>
        <w:trPr>
          <w:trHeight w:val="229"/>
        </w:trPr>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10.37</w:t>
            </w:r>
          </w:p>
        </w:tc>
        <w:tc>
          <w:tcPr>
            <w:tcW w:w="8720" w:type="dxa"/>
            <w:vAlign w:val="bottom"/>
          </w:tcPr>
          <w:p>
            <w:pPr>
              <w:ind w:left="60"/>
              <w:spacing w:after="0"/>
              <w:rPr>
                <w:rFonts w:ascii="Times New Roman" w:cs="Times New Roman" w:eastAsia="Times New Roman" w:hAnsi="Times New Roman"/>
                <w:sz w:val="18"/>
                <w:szCs w:val="18"/>
                <w:color w:val="auto"/>
              </w:rPr>
            </w:pPr>
            <w:hyperlink r:id="rId90">
              <w:r>
                <w:rPr>
                  <w:rFonts w:ascii="Times New Roman" w:cs="Times New Roman" w:eastAsia="Times New Roman" w:hAnsi="Times New Roman"/>
                  <w:sz w:val="18"/>
                  <w:szCs w:val="18"/>
                  <w:color w:val="auto"/>
                </w:rPr>
                <w:t>Limited Liability Company Agreement of TRC-MRC 2, LLC</w:t>
              </w:r>
            </w:hyperlink>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26</w:t>
            </w:r>
          </w:p>
        </w:tc>
      </w:tr>
      <w:tr>
        <w:trPr>
          <w:trHeight w:val="229"/>
        </w:trPr>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10.38</w:t>
            </w:r>
          </w:p>
        </w:tc>
        <w:tc>
          <w:tcPr>
            <w:tcW w:w="8720" w:type="dxa"/>
            <w:vAlign w:val="bottom"/>
          </w:tcPr>
          <w:p>
            <w:pPr>
              <w:ind w:left="60"/>
              <w:spacing w:after="0"/>
              <w:rPr>
                <w:rFonts w:ascii="Times New Roman" w:cs="Times New Roman" w:eastAsia="Times New Roman" w:hAnsi="Times New Roman"/>
                <w:sz w:val="18"/>
                <w:szCs w:val="18"/>
                <w:color w:val="auto"/>
              </w:rPr>
            </w:pPr>
            <w:hyperlink r:id="rId91">
              <w:r>
                <w:rPr>
                  <w:rFonts w:ascii="Times New Roman" w:cs="Times New Roman" w:eastAsia="Times New Roman" w:hAnsi="Times New Roman"/>
                  <w:sz w:val="18"/>
                  <w:szCs w:val="18"/>
                  <w:color w:val="auto"/>
                </w:rPr>
                <w:t>Limited Liability Company Agreement of TRC-MRC 1, LLC</w:t>
              </w:r>
            </w:hyperlink>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27</w:t>
            </w:r>
          </w:p>
        </w:tc>
      </w:tr>
      <w:tr>
        <w:trPr>
          <w:trHeight w:val="230"/>
        </w:trPr>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10.39</w:t>
            </w:r>
          </w:p>
        </w:tc>
        <w:tc>
          <w:tcPr>
            <w:tcW w:w="8720" w:type="dxa"/>
            <w:vAlign w:val="bottom"/>
          </w:tcPr>
          <w:p>
            <w:pPr>
              <w:ind w:left="60"/>
              <w:spacing w:after="0"/>
              <w:rPr>
                <w:rFonts w:ascii="Times New Roman" w:cs="Times New Roman" w:eastAsia="Times New Roman" w:hAnsi="Times New Roman"/>
                <w:sz w:val="18"/>
                <w:szCs w:val="18"/>
                <w:color w:val="auto"/>
              </w:rPr>
            </w:pPr>
            <w:hyperlink r:id="rId92">
              <w:r>
                <w:rPr>
                  <w:rFonts w:ascii="Times New Roman" w:cs="Times New Roman" w:eastAsia="Times New Roman" w:hAnsi="Times New Roman"/>
                  <w:sz w:val="18"/>
                  <w:szCs w:val="18"/>
                  <w:color w:val="auto"/>
                </w:rPr>
                <w:t xml:space="preserve">Centennial Founders, LLC Redemption and Withdrawal Agreement </w:t>
              </w:r>
            </w:hyperlink>
            <w:r>
              <w:rPr>
                <w:rFonts w:ascii="Times New Roman" w:cs="Times New Roman" w:eastAsia="Times New Roman" w:hAnsi="Times New Roman"/>
                <w:sz w:val="18"/>
                <w:szCs w:val="18"/>
                <w:color w:val="auto"/>
              </w:rPr>
              <w:t>- Lewis Tejon Member</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28</w:t>
            </w:r>
          </w:p>
        </w:tc>
      </w:tr>
      <w:tr>
        <w:trPr>
          <w:trHeight w:val="180"/>
        </w:trPr>
        <w:tc>
          <w:tcPr>
            <w:tcW w:w="760" w:type="dxa"/>
            <w:vAlign w:val="bottom"/>
          </w:tcPr>
          <w:p>
            <w:pPr>
              <w:jc w:val="right"/>
              <w:ind w:right="30"/>
              <w:spacing w:after="0" w:line="181" w:lineRule="exact"/>
              <w:rPr>
                <w:sz w:val="20"/>
                <w:szCs w:val="20"/>
                <w:color w:val="auto"/>
              </w:rPr>
            </w:pPr>
            <w:r>
              <w:rPr>
                <w:rFonts w:ascii="Times New Roman" w:cs="Times New Roman" w:eastAsia="Times New Roman" w:hAnsi="Times New Roman"/>
                <w:sz w:val="18"/>
                <w:szCs w:val="18"/>
                <w:color w:val="auto"/>
              </w:rPr>
              <w:t>10.40</w:t>
            </w:r>
          </w:p>
        </w:tc>
        <w:tc>
          <w:tcPr>
            <w:tcW w:w="8720" w:type="dxa"/>
            <w:vAlign w:val="bottom"/>
          </w:tcPr>
          <w:p>
            <w:pPr>
              <w:ind w:left="60"/>
              <w:spacing w:after="0" w:line="181" w:lineRule="exact"/>
              <w:rPr>
                <w:rFonts w:ascii="Times New Roman" w:cs="Times New Roman" w:eastAsia="Times New Roman" w:hAnsi="Times New Roman"/>
                <w:sz w:val="18"/>
                <w:szCs w:val="18"/>
                <w:color w:val="auto"/>
              </w:rPr>
            </w:pPr>
            <w:hyperlink r:id="rId93">
              <w:r>
                <w:rPr>
                  <w:rFonts w:ascii="Times New Roman" w:cs="Times New Roman" w:eastAsia="Times New Roman" w:hAnsi="Times New Roman"/>
                  <w:sz w:val="18"/>
                  <w:szCs w:val="18"/>
                  <w:color w:val="auto"/>
                </w:rPr>
                <w:t>First Amendment to Second Amended and Restated Limited Liability Company Agreement of Centennial Founders,</w:t>
              </w:r>
            </w:hyperlink>
          </w:p>
        </w:tc>
        <w:tc>
          <w:tcPr>
            <w:tcW w:w="1300" w:type="dxa"/>
            <w:vAlign w:val="bottom"/>
          </w:tcPr>
          <w:p>
            <w:pPr>
              <w:spacing w:after="0"/>
              <w:rPr>
                <w:sz w:val="15"/>
                <w:szCs w:val="15"/>
                <w:color w:val="auto"/>
              </w:rPr>
            </w:pPr>
          </w:p>
        </w:tc>
      </w:tr>
      <w:tr>
        <w:trPr>
          <w:trHeight w:val="238"/>
        </w:trPr>
        <w:tc>
          <w:tcPr>
            <w:tcW w:w="760" w:type="dxa"/>
            <w:vAlign w:val="bottom"/>
          </w:tcPr>
          <w:p>
            <w:pPr>
              <w:spacing w:after="0"/>
              <w:rPr>
                <w:sz w:val="20"/>
                <w:szCs w:val="20"/>
                <w:color w:val="auto"/>
              </w:rPr>
            </w:pPr>
          </w:p>
        </w:tc>
        <w:tc>
          <w:tcPr>
            <w:tcW w:w="8720" w:type="dxa"/>
            <w:vAlign w:val="bottom"/>
          </w:tcPr>
          <w:p>
            <w:pPr>
              <w:ind w:left="60"/>
              <w:spacing w:after="0"/>
              <w:rPr>
                <w:rFonts w:ascii="Times New Roman" w:cs="Times New Roman" w:eastAsia="Times New Roman" w:hAnsi="Times New Roman"/>
                <w:sz w:val="18"/>
                <w:szCs w:val="18"/>
                <w:color w:val="auto"/>
              </w:rPr>
            </w:pPr>
            <w:hyperlink r:id="rId93">
              <w:r>
                <w:rPr>
                  <w:rFonts w:ascii="Times New Roman" w:cs="Times New Roman" w:eastAsia="Times New Roman" w:hAnsi="Times New Roman"/>
                  <w:sz w:val="18"/>
                  <w:szCs w:val="18"/>
                  <w:color w:val="auto"/>
                </w:rPr>
                <w:t>LLC</w:t>
              </w:r>
            </w:hyperlink>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29</w:t>
            </w:r>
          </w:p>
        </w:tc>
      </w:tr>
      <w:tr>
        <w:trPr>
          <w:trHeight w:val="180"/>
        </w:trPr>
        <w:tc>
          <w:tcPr>
            <w:tcW w:w="760" w:type="dxa"/>
            <w:vAlign w:val="bottom"/>
          </w:tcPr>
          <w:p>
            <w:pPr>
              <w:jc w:val="right"/>
              <w:ind w:right="30"/>
              <w:spacing w:after="0" w:line="181" w:lineRule="exact"/>
              <w:rPr>
                <w:sz w:val="20"/>
                <w:szCs w:val="20"/>
                <w:color w:val="auto"/>
              </w:rPr>
            </w:pPr>
            <w:r>
              <w:rPr>
                <w:rFonts w:ascii="Times New Roman" w:cs="Times New Roman" w:eastAsia="Times New Roman" w:hAnsi="Times New Roman"/>
                <w:sz w:val="18"/>
                <w:szCs w:val="18"/>
                <w:color w:val="auto"/>
              </w:rPr>
              <w:t>10.41</w:t>
            </w:r>
          </w:p>
        </w:tc>
        <w:tc>
          <w:tcPr>
            <w:tcW w:w="8720" w:type="dxa"/>
            <w:vAlign w:val="bottom"/>
          </w:tcPr>
          <w:p>
            <w:pPr>
              <w:ind w:left="60"/>
              <w:spacing w:after="0" w:line="181" w:lineRule="exact"/>
              <w:rPr>
                <w:rFonts w:ascii="Times New Roman" w:cs="Times New Roman" w:eastAsia="Times New Roman" w:hAnsi="Times New Roman"/>
                <w:sz w:val="18"/>
                <w:szCs w:val="18"/>
                <w:color w:val="auto"/>
              </w:rPr>
            </w:pPr>
            <w:hyperlink r:id="rId94">
              <w:r>
                <w:rPr>
                  <w:rFonts w:ascii="Times New Roman" w:cs="Times New Roman" w:eastAsia="Times New Roman" w:hAnsi="Times New Roman"/>
                  <w:sz w:val="18"/>
                  <w:szCs w:val="18"/>
                  <w:color w:val="auto"/>
                </w:rPr>
                <w:t>Second Amendment to Second Amended and Restated Limited Liability Company Agreement of Centennial</w:t>
              </w:r>
            </w:hyperlink>
          </w:p>
        </w:tc>
        <w:tc>
          <w:tcPr>
            <w:tcW w:w="1300" w:type="dxa"/>
            <w:vAlign w:val="bottom"/>
          </w:tcPr>
          <w:p>
            <w:pPr>
              <w:spacing w:after="0"/>
              <w:rPr>
                <w:sz w:val="15"/>
                <w:szCs w:val="15"/>
                <w:color w:val="auto"/>
              </w:rPr>
            </w:pPr>
          </w:p>
        </w:tc>
      </w:tr>
      <w:tr>
        <w:trPr>
          <w:trHeight w:val="238"/>
        </w:trPr>
        <w:tc>
          <w:tcPr>
            <w:tcW w:w="760" w:type="dxa"/>
            <w:vAlign w:val="bottom"/>
          </w:tcPr>
          <w:p>
            <w:pPr>
              <w:spacing w:after="0"/>
              <w:rPr>
                <w:sz w:val="20"/>
                <w:szCs w:val="20"/>
                <w:color w:val="auto"/>
              </w:rPr>
            </w:pPr>
          </w:p>
        </w:tc>
        <w:tc>
          <w:tcPr>
            <w:tcW w:w="8720" w:type="dxa"/>
            <w:vAlign w:val="bottom"/>
          </w:tcPr>
          <w:p>
            <w:pPr>
              <w:ind w:left="60"/>
              <w:spacing w:after="0"/>
              <w:rPr>
                <w:rFonts w:ascii="Times New Roman" w:cs="Times New Roman" w:eastAsia="Times New Roman" w:hAnsi="Times New Roman"/>
                <w:sz w:val="18"/>
                <w:szCs w:val="18"/>
                <w:color w:val="auto"/>
              </w:rPr>
            </w:pPr>
            <w:hyperlink r:id="rId94">
              <w:r>
                <w:rPr>
                  <w:rFonts w:ascii="Times New Roman" w:cs="Times New Roman" w:eastAsia="Times New Roman" w:hAnsi="Times New Roman"/>
                  <w:sz w:val="18"/>
                  <w:szCs w:val="18"/>
                  <w:color w:val="auto"/>
                </w:rPr>
                <w:t>Founders, LLC</w:t>
              </w:r>
            </w:hyperlink>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30</w:t>
            </w:r>
          </w:p>
        </w:tc>
      </w:tr>
      <w:tr>
        <w:trPr>
          <w:trHeight w:val="230"/>
        </w:trPr>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10.42</w:t>
            </w:r>
          </w:p>
        </w:tc>
        <w:tc>
          <w:tcPr>
            <w:tcW w:w="8720" w:type="dxa"/>
            <w:vAlign w:val="bottom"/>
          </w:tcPr>
          <w:p>
            <w:pPr>
              <w:ind w:left="60"/>
              <w:spacing w:after="0"/>
              <w:rPr>
                <w:rFonts w:ascii="Times New Roman" w:cs="Times New Roman" w:eastAsia="Times New Roman" w:hAnsi="Times New Roman"/>
                <w:sz w:val="18"/>
                <w:szCs w:val="18"/>
                <w:color w:val="auto"/>
              </w:rPr>
            </w:pPr>
            <w:hyperlink r:id="rId95">
              <w:r>
                <w:rPr>
                  <w:rFonts w:ascii="Times New Roman" w:cs="Times New Roman" w:eastAsia="Times New Roman" w:hAnsi="Times New Roman"/>
                  <w:sz w:val="18"/>
                  <w:szCs w:val="18"/>
                  <w:color w:val="auto"/>
                </w:rPr>
                <w:t>Limited Liability Company Agreement of TRC-MRC 3, LLC</w:t>
              </w:r>
            </w:hyperlink>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31</w:t>
            </w:r>
          </w:p>
        </w:tc>
      </w:tr>
      <w:tr>
        <w:trPr>
          <w:trHeight w:val="180"/>
        </w:trPr>
        <w:tc>
          <w:tcPr>
            <w:tcW w:w="760" w:type="dxa"/>
            <w:vAlign w:val="bottom"/>
          </w:tcPr>
          <w:p>
            <w:pPr>
              <w:jc w:val="right"/>
              <w:ind w:right="30"/>
              <w:spacing w:after="0" w:line="181" w:lineRule="exact"/>
              <w:rPr>
                <w:sz w:val="20"/>
                <w:szCs w:val="20"/>
                <w:color w:val="auto"/>
              </w:rPr>
            </w:pPr>
            <w:r>
              <w:rPr>
                <w:rFonts w:ascii="Times New Roman" w:cs="Times New Roman" w:eastAsia="Times New Roman" w:hAnsi="Times New Roman"/>
                <w:sz w:val="18"/>
                <w:szCs w:val="18"/>
                <w:color w:val="auto"/>
              </w:rPr>
              <w:t>10.43</w:t>
            </w:r>
          </w:p>
        </w:tc>
        <w:tc>
          <w:tcPr>
            <w:tcW w:w="8720" w:type="dxa"/>
            <w:vAlign w:val="bottom"/>
          </w:tcPr>
          <w:p>
            <w:pPr>
              <w:ind w:left="60"/>
              <w:spacing w:after="0" w:line="181" w:lineRule="exact"/>
              <w:rPr>
                <w:rFonts w:ascii="Times New Roman" w:cs="Times New Roman" w:eastAsia="Times New Roman" w:hAnsi="Times New Roman"/>
                <w:sz w:val="18"/>
                <w:szCs w:val="18"/>
                <w:color w:val="auto"/>
              </w:rPr>
            </w:pPr>
            <w:hyperlink r:id="rId96">
              <w:r>
                <w:rPr>
                  <w:rFonts w:ascii="Times New Roman" w:cs="Times New Roman" w:eastAsia="Times New Roman" w:hAnsi="Times New Roman"/>
                  <w:sz w:val="18"/>
                  <w:szCs w:val="18"/>
                  <w:color w:val="auto"/>
                </w:rPr>
                <w:t>Fourth Amendment to Second Amended and Restated Limited Liability Company Agreement of Centennial</w:t>
              </w:r>
            </w:hyperlink>
          </w:p>
        </w:tc>
        <w:tc>
          <w:tcPr>
            <w:tcW w:w="1300" w:type="dxa"/>
            <w:vAlign w:val="bottom"/>
          </w:tcPr>
          <w:p>
            <w:pPr>
              <w:spacing w:after="0"/>
              <w:rPr>
                <w:sz w:val="15"/>
                <w:szCs w:val="15"/>
                <w:color w:val="auto"/>
              </w:rPr>
            </w:pPr>
          </w:p>
        </w:tc>
      </w:tr>
      <w:tr>
        <w:trPr>
          <w:trHeight w:val="238"/>
        </w:trPr>
        <w:tc>
          <w:tcPr>
            <w:tcW w:w="760" w:type="dxa"/>
            <w:vAlign w:val="bottom"/>
          </w:tcPr>
          <w:p>
            <w:pPr>
              <w:spacing w:after="0"/>
              <w:rPr>
                <w:sz w:val="20"/>
                <w:szCs w:val="20"/>
                <w:color w:val="auto"/>
              </w:rPr>
            </w:pPr>
          </w:p>
        </w:tc>
        <w:tc>
          <w:tcPr>
            <w:tcW w:w="8720" w:type="dxa"/>
            <w:vAlign w:val="bottom"/>
          </w:tcPr>
          <w:p>
            <w:pPr>
              <w:ind w:left="60"/>
              <w:spacing w:after="0"/>
              <w:rPr>
                <w:rFonts w:ascii="Times New Roman" w:cs="Times New Roman" w:eastAsia="Times New Roman" w:hAnsi="Times New Roman"/>
                <w:sz w:val="18"/>
                <w:szCs w:val="18"/>
                <w:color w:val="auto"/>
              </w:rPr>
            </w:pPr>
            <w:hyperlink r:id="rId96">
              <w:r>
                <w:rPr>
                  <w:rFonts w:ascii="Times New Roman" w:cs="Times New Roman" w:eastAsia="Times New Roman" w:hAnsi="Times New Roman"/>
                  <w:sz w:val="18"/>
                  <w:szCs w:val="18"/>
                  <w:color w:val="auto"/>
                </w:rPr>
                <w:t>Founders, LLC</w:t>
              </w:r>
            </w:hyperlink>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32</w:t>
            </w:r>
          </w:p>
        </w:tc>
      </w:tr>
      <w:tr>
        <w:trPr>
          <w:trHeight w:val="229"/>
        </w:trPr>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10.44</w:t>
            </w:r>
          </w:p>
        </w:tc>
        <w:tc>
          <w:tcPr>
            <w:tcW w:w="8720" w:type="dxa"/>
            <w:vAlign w:val="bottom"/>
          </w:tcPr>
          <w:p>
            <w:pPr>
              <w:ind w:left="60"/>
              <w:spacing w:after="0"/>
              <w:rPr>
                <w:rFonts w:ascii="Times New Roman" w:cs="Times New Roman" w:eastAsia="Times New Roman" w:hAnsi="Times New Roman"/>
                <w:sz w:val="18"/>
                <w:szCs w:val="18"/>
                <w:color w:val="auto"/>
              </w:rPr>
            </w:pPr>
            <w:hyperlink r:id="rId97">
              <w:r>
                <w:rPr>
                  <w:rFonts w:ascii="Times New Roman" w:cs="Times New Roman" w:eastAsia="Times New Roman" w:hAnsi="Times New Roman"/>
                  <w:sz w:val="18"/>
                  <w:szCs w:val="18"/>
                  <w:color w:val="auto"/>
                </w:rPr>
                <w:t>Centennial Founders, LLC Redemption and Withdrawal Agreement - CalAtlantic</w:t>
              </w:r>
            </w:hyperlink>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33</w:t>
            </w:r>
          </w:p>
        </w:tc>
      </w:tr>
      <w:tr>
        <w:trPr>
          <w:trHeight w:val="229"/>
        </w:trPr>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10.45</w:t>
            </w:r>
          </w:p>
        </w:tc>
        <w:tc>
          <w:tcPr>
            <w:tcW w:w="8720" w:type="dxa"/>
            <w:vAlign w:val="bottom"/>
          </w:tcPr>
          <w:p>
            <w:pPr>
              <w:ind w:left="60"/>
              <w:spacing w:after="0"/>
              <w:rPr>
                <w:rFonts w:ascii="Times New Roman" w:cs="Times New Roman" w:eastAsia="Times New Roman" w:hAnsi="Times New Roman"/>
                <w:sz w:val="18"/>
                <w:szCs w:val="18"/>
                <w:color w:val="auto"/>
              </w:rPr>
            </w:pPr>
            <w:hyperlink r:id="rId98">
              <w:r>
                <w:rPr>
                  <w:rFonts w:ascii="Times New Roman" w:cs="Times New Roman" w:eastAsia="Times New Roman" w:hAnsi="Times New Roman"/>
                  <w:sz w:val="18"/>
                  <w:szCs w:val="18"/>
                  <w:color w:val="auto"/>
                </w:rPr>
                <w:t>Amended Revolving Line of Credit</w:t>
              </w:r>
            </w:hyperlink>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34</w:t>
            </w:r>
          </w:p>
        </w:tc>
      </w:tr>
      <w:tr>
        <w:trPr>
          <w:trHeight w:val="230"/>
        </w:trPr>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10.46</w:t>
            </w:r>
          </w:p>
        </w:tc>
        <w:tc>
          <w:tcPr>
            <w:tcW w:w="8720" w:type="dxa"/>
            <w:vAlign w:val="bottom"/>
          </w:tcPr>
          <w:p>
            <w:pPr>
              <w:ind w:left="60"/>
              <w:spacing w:after="0"/>
              <w:rPr>
                <w:rFonts w:ascii="Times New Roman" w:cs="Times New Roman" w:eastAsia="Times New Roman" w:hAnsi="Times New Roman"/>
                <w:sz w:val="18"/>
                <w:szCs w:val="18"/>
                <w:color w:val="auto"/>
              </w:rPr>
            </w:pPr>
            <w:hyperlink r:id="rId99">
              <w:r>
                <w:rPr>
                  <w:rFonts w:ascii="Times New Roman" w:cs="Times New Roman" w:eastAsia="Times New Roman" w:hAnsi="Times New Roman"/>
                  <w:sz w:val="18"/>
                  <w:szCs w:val="18"/>
                  <w:color w:val="auto"/>
                </w:rPr>
                <w:t>Amended Term Note</w:t>
              </w:r>
            </w:hyperlink>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35</w:t>
            </w:r>
          </w:p>
        </w:tc>
      </w:tr>
      <w:tr>
        <w:trPr>
          <w:trHeight w:val="229"/>
        </w:trPr>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10.47</w:t>
            </w:r>
          </w:p>
        </w:tc>
        <w:tc>
          <w:tcPr>
            <w:tcW w:w="8720" w:type="dxa"/>
            <w:vAlign w:val="bottom"/>
          </w:tcPr>
          <w:p>
            <w:pPr>
              <w:ind w:left="60"/>
              <w:spacing w:after="0"/>
              <w:rPr>
                <w:rFonts w:ascii="Times New Roman" w:cs="Times New Roman" w:eastAsia="Times New Roman" w:hAnsi="Times New Roman"/>
                <w:sz w:val="18"/>
                <w:szCs w:val="18"/>
                <w:color w:val="auto"/>
              </w:rPr>
            </w:pPr>
            <w:hyperlink r:id="rId100">
              <w:r>
                <w:rPr>
                  <w:rFonts w:ascii="Times New Roman" w:cs="Times New Roman" w:eastAsia="Times New Roman" w:hAnsi="Times New Roman"/>
                  <w:sz w:val="18"/>
                  <w:szCs w:val="18"/>
                  <w:color w:val="auto"/>
                </w:rPr>
                <w:t>*Executive Severance Agreement - Executive Severance Agreement - Gregory S. Bielli</w:t>
              </w:r>
            </w:hyperlink>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38</w:t>
            </w:r>
          </w:p>
        </w:tc>
      </w:tr>
      <w:tr>
        <w:trPr>
          <w:trHeight w:val="230"/>
        </w:trPr>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10.48</w:t>
            </w:r>
          </w:p>
        </w:tc>
        <w:tc>
          <w:tcPr>
            <w:tcW w:w="8720" w:type="dxa"/>
            <w:vAlign w:val="bottom"/>
          </w:tcPr>
          <w:p>
            <w:pPr>
              <w:ind w:left="60"/>
              <w:spacing w:after="0"/>
              <w:rPr>
                <w:rFonts w:ascii="Times New Roman" w:cs="Times New Roman" w:eastAsia="Times New Roman" w:hAnsi="Times New Roman"/>
                <w:sz w:val="18"/>
                <w:szCs w:val="18"/>
                <w:color w:val="auto"/>
              </w:rPr>
            </w:pPr>
            <w:hyperlink r:id="rId101">
              <w:r>
                <w:rPr>
                  <w:rFonts w:ascii="Times New Roman" w:cs="Times New Roman" w:eastAsia="Times New Roman" w:hAnsi="Times New Roman"/>
                  <w:sz w:val="18"/>
                  <w:szCs w:val="18"/>
                  <w:color w:val="auto"/>
                </w:rPr>
                <w:t>Limited Liability Company Agreement of TRC-MRC 4, LLC</w:t>
              </w:r>
            </w:hyperlink>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39</w:t>
            </w:r>
          </w:p>
        </w:tc>
      </w:tr>
      <w:tr>
        <w:trPr>
          <w:trHeight w:val="229"/>
        </w:trPr>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10.49</w:t>
            </w:r>
          </w:p>
        </w:tc>
        <w:tc>
          <w:tcPr>
            <w:tcW w:w="8720" w:type="dxa"/>
            <w:vAlign w:val="bottom"/>
          </w:tcPr>
          <w:p>
            <w:pPr>
              <w:ind w:left="60"/>
              <w:spacing w:after="0"/>
              <w:rPr>
                <w:rFonts w:ascii="Times New Roman" w:cs="Times New Roman" w:eastAsia="Times New Roman" w:hAnsi="Times New Roman"/>
                <w:sz w:val="18"/>
                <w:szCs w:val="18"/>
                <w:color w:val="auto"/>
              </w:rPr>
            </w:pPr>
            <w:hyperlink r:id="rId102">
              <w:r>
                <w:rPr>
                  <w:rFonts w:ascii="Times New Roman" w:cs="Times New Roman" w:eastAsia="Times New Roman" w:hAnsi="Times New Roman"/>
                  <w:sz w:val="18"/>
                  <w:szCs w:val="18"/>
                  <w:color w:val="auto"/>
                </w:rPr>
                <w:t>Settlement Agreement of CEQA litigation with Climate Resolve</w:t>
              </w:r>
            </w:hyperlink>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40</w:t>
            </w:r>
          </w:p>
        </w:tc>
      </w:tr>
      <w:tr>
        <w:trPr>
          <w:trHeight w:val="229"/>
        </w:trPr>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10.50</w:t>
            </w:r>
          </w:p>
        </w:tc>
        <w:tc>
          <w:tcPr>
            <w:tcW w:w="8720" w:type="dxa"/>
            <w:vAlign w:val="bottom"/>
          </w:tcPr>
          <w:p>
            <w:pPr>
              <w:ind w:left="60"/>
              <w:spacing w:after="0"/>
              <w:rPr>
                <w:rFonts w:ascii="Times New Roman" w:cs="Times New Roman" w:eastAsia="Times New Roman" w:hAnsi="Times New Roman"/>
                <w:sz w:val="18"/>
                <w:szCs w:val="18"/>
                <w:color w:val="auto"/>
              </w:rPr>
            </w:pPr>
            <w:hyperlink r:id="rId103">
              <w:r>
                <w:rPr>
                  <w:rFonts w:ascii="Times New Roman" w:cs="Times New Roman" w:eastAsia="Times New Roman" w:hAnsi="Times New Roman"/>
                  <w:sz w:val="18"/>
                  <w:szCs w:val="18"/>
                  <w:color w:val="auto"/>
                </w:rPr>
                <w:t>Limited Liability Company Agreement of TRC-MRC Multi I, LLC</w:t>
              </w:r>
            </w:hyperlink>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41</w:t>
            </w:r>
          </w:p>
        </w:tc>
      </w:tr>
      <w:tr>
        <w:trPr>
          <w:trHeight w:val="230"/>
        </w:trPr>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10.51</w:t>
            </w:r>
          </w:p>
        </w:tc>
        <w:tc>
          <w:tcPr>
            <w:tcW w:w="8720" w:type="dxa"/>
            <w:vAlign w:val="bottom"/>
          </w:tcPr>
          <w:p>
            <w:pPr>
              <w:ind w:left="60"/>
              <w:spacing w:after="0"/>
              <w:rPr>
                <w:rFonts w:ascii="Times New Roman" w:cs="Times New Roman" w:eastAsia="Times New Roman" w:hAnsi="Times New Roman"/>
                <w:sz w:val="18"/>
                <w:szCs w:val="18"/>
                <w:color w:val="auto"/>
              </w:rPr>
            </w:pPr>
            <w:hyperlink r:id="rId104">
              <w:r>
                <w:rPr>
                  <w:rFonts w:ascii="Times New Roman" w:cs="Times New Roman" w:eastAsia="Times New Roman" w:hAnsi="Times New Roman"/>
                  <w:sz w:val="18"/>
                  <w:szCs w:val="18"/>
                  <w:color w:val="auto"/>
                </w:rPr>
                <w:t>Limited Liability Company Agreement of TRC-MRC 5, LLC</w:t>
              </w:r>
            </w:hyperlink>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42</w:t>
            </w:r>
          </w:p>
        </w:tc>
      </w:tr>
      <w:tr>
        <w:trPr>
          <w:trHeight w:val="229"/>
        </w:trPr>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10.52</w:t>
            </w:r>
          </w:p>
        </w:tc>
        <w:tc>
          <w:tcPr>
            <w:tcW w:w="8720" w:type="dxa"/>
            <w:vAlign w:val="bottom"/>
          </w:tcPr>
          <w:p>
            <w:pPr>
              <w:ind w:left="60"/>
              <w:spacing w:after="0"/>
              <w:rPr>
                <w:rFonts w:ascii="Times New Roman" w:cs="Times New Roman" w:eastAsia="Times New Roman" w:hAnsi="Times New Roman"/>
                <w:sz w:val="18"/>
                <w:szCs w:val="18"/>
                <w:color w:val="auto"/>
              </w:rPr>
            </w:pPr>
            <w:hyperlink r:id="rId105">
              <w:r>
                <w:rPr>
                  <w:rFonts w:ascii="Times New Roman" w:cs="Times New Roman" w:eastAsia="Times New Roman" w:hAnsi="Times New Roman"/>
                  <w:sz w:val="18"/>
                  <w:szCs w:val="18"/>
                  <w:color w:val="auto"/>
                </w:rPr>
                <w:t>Credit Agreement Between Tejon Ranchcorp and Bank of America, N.A.</w:t>
              </w:r>
            </w:hyperlink>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43</w:t>
            </w:r>
          </w:p>
        </w:tc>
      </w:tr>
      <w:tr>
        <w:trPr>
          <w:trHeight w:val="230"/>
        </w:trPr>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10.53</w:t>
            </w:r>
          </w:p>
        </w:tc>
        <w:tc>
          <w:tcPr>
            <w:tcW w:w="8720" w:type="dxa"/>
            <w:vAlign w:val="bottom"/>
          </w:tcPr>
          <w:p>
            <w:pPr>
              <w:ind w:left="60"/>
              <w:spacing w:after="0"/>
              <w:rPr>
                <w:rFonts w:ascii="Times New Roman" w:cs="Times New Roman" w:eastAsia="Times New Roman" w:hAnsi="Times New Roman"/>
                <w:sz w:val="18"/>
                <w:szCs w:val="18"/>
                <w:color w:val="auto"/>
              </w:rPr>
            </w:pPr>
            <w:hyperlink r:id="rId106">
              <w:r>
                <w:rPr>
                  <w:rFonts w:ascii="Times New Roman" w:cs="Times New Roman" w:eastAsia="Times New Roman" w:hAnsi="Times New Roman"/>
                  <w:sz w:val="18"/>
                  <w:szCs w:val="18"/>
                  <w:color w:val="auto"/>
                </w:rPr>
                <w:t>Executive Officer Severance Agreement – Marc Hardy</w:t>
              </w:r>
            </w:hyperlink>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44</w:t>
            </w:r>
          </w:p>
        </w:tc>
      </w:tr>
      <w:tr>
        <w:trPr>
          <w:trHeight w:val="230"/>
        </w:trPr>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10.54</w:t>
            </w:r>
          </w:p>
        </w:tc>
        <w:tc>
          <w:tcPr>
            <w:tcW w:w="8720" w:type="dxa"/>
            <w:vAlign w:val="bottom"/>
          </w:tcPr>
          <w:p>
            <w:pPr>
              <w:ind w:left="60"/>
              <w:spacing w:after="0"/>
              <w:rPr>
                <w:rFonts w:ascii="Times New Roman" w:cs="Times New Roman" w:eastAsia="Times New Roman" w:hAnsi="Times New Roman"/>
                <w:sz w:val="18"/>
                <w:szCs w:val="18"/>
                <w:color w:val="auto"/>
              </w:rPr>
            </w:pPr>
            <w:hyperlink r:id="rId107">
              <w:r>
                <w:rPr>
                  <w:rFonts w:ascii="Times New Roman" w:cs="Times New Roman" w:eastAsia="Times New Roman" w:hAnsi="Times New Roman"/>
                  <w:sz w:val="18"/>
                  <w:szCs w:val="18"/>
                  <w:color w:val="auto"/>
                </w:rPr>
                <w:t>Credit Agreement Between Tejon Ranchcorp and AgWest Farm Credit, PCA</w:t>
              </w:r>
            </w:hyperlink>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45</w:t>
            </w:r>
          </w:p>
        </w:tc>
      </w:tr>
      <w:tr>
        <w:trPr>
          <w:trHeight w:val="229"/>
        </w:trPr>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10.55</w:t>
            </w:r>
          </w:p>
        </w:tc>
        <w:tc>
          <w:tcPr>
            <w:tcW w:w="8720" w:type="dxa"/>
            <w:vAlign w:val="bottom"/>
          </w:tcPr>
          <w:p>
            <w:pPr>
              <w:ind w:left="60"/>
              <w:spacing w:after="0"/>
              <w:rPr>
                <w:rFonts w:ascii="Times New Roman" w:cs="Times New Roman" w:eastAsia="Times New Roman" w:hAnsi="Times New Roman"/>
                <w:sz w:val="18"/>
                <w:szCs w:val="18"/>
                <w:color w:val="auto"/>
              </w:rPr>
            </w:pPr>
            <w:hyperlink r:id="rId108">
              <w:r>
                <w:rPr>
                  <w:rFonts w:ascii="Times New Roman" w:cs="Times New Roman" w:eastAsia="Times New Roman" w:hAnsi="Times New Roman"/>
                  <w:sz w:val="18"/>
                  <w:szCs w:val="18"/>
                  <w:color w:val="auto"/>
                </w:rPr>
                <w:t>Consulting Letter Agreement between Tejon Ranch Co. and Gregory S. Bielli</w:t>
              </w:r>
            </w:hyperlink>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46</w:t>
            </w:r>
          </w:p>
        </w:tc>
      </w:tr>
      <w:tr>
        <w:trPr>
          <w:trHeight w:val="230"/>
        </w:trPr>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31.1</w:t>
            </w:r>
          </w:p>
        </w:tc>
        <w:tc>
          <w:tcPr>
            <w:tcW w:w="8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Certification as adopted pursuant to Section 302 of the Sarbanes-Oxley Act of 2002</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30"/>
        </w:trPr>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31.2</w:t>
            </w:r>
          </w:p>
        </w:tc>
        <w:tc>
          <w:tcPr>
            <w:tcW w:w="8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Certification as adopted pursuant to Section 302 of the Sarbanes-Oxley Act of 2002</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Filed herewith</w:t>
            </w:r>
          </w:p>
        </w:tc>
      </w:tr>
      <w:tr>
        <w:trPr>
          <w:trHeight w:val="180"/>
        </w:trPr>
        <w:tc>
          <w:tcPr>
            <w:tcW w:w="760" w:type="dxa"/>
            <w:vAlign w:val="bottom"/>
          </w:tcPr>
          <w:p>
            <w:pPr>
              <w:jc w:val="right"/>
              <w:ind w:right="30"/>
              <w:spacing w:after="0" w:line="181" w:lineRule="exact"/>
              <w:rPr>
                <w:sz w:val="20"/>
                <w:szCs w:val="20"/>
                <w:color w:val="auto"/>
              </w:rPr>
            </w:pPr>
            <w:r>
              <w:rPr>
                <w:rFonts w:ascii="Times New Roman" w:cs="Times New Roman" w:eastAsia="Times New Roman" w:hAnsi="Times New Roman"/>
                <w:sz w:val="18"/>
                <w:szCs w:val="18"/>
                <w:color w:val="auto"/>
              </w:rPr>
              <w:t>32</w:t>
            </w:r>
          </w:p>
        </w:tc>
        <w:tc>
          <w:tcPr>
            <w:tcW w:w="8720" w:type="dxa"/>
            <w:vAlign w:val="bottom"/>
          </w:tcPr>
          <w:p>
            <w:pPr>
              <w:ind w:left="60"/>
              <w:spacing w:after="0" w:line="181" w:lineRule="exact"/>
              <w:rPr>
                <w:sz w:val="20"/>
                <w:szCs w:val="20"/>
                <w:color w:val="auto"/>
              </w:rPr>
            </w:pPr>
            <w:r>
              <w:rPr>
                <w:rFonts w:ascii="Times New Roman" w:cs="Times New Roman" w:eastAsia="Times New Roman" w:hAnsi="Times New Roman"/>
                <w:sz w:val="18"/>
                <w:szCs w:val="18"/>
                <w:color w:val="auto"/>
              </w:rPr>
              <w:t>Certification Pursuant to 18 U.S.C. Section 1350, as Adopted Pursuant to Section 906 of the Sarbanes-Oxley Act of</w:t>
            </w:r>
          </w:p>
        </w:tc>
        <w:tc>
          <w:tcPr>
            <w:tcW w:w="1300" w:type="dxa"/>
            <w:vAlign w:val="bottom"/>
          </w:tcPr>
          <w:p>
            <w:pPr>
              <w:spacing w:after="0"/>
              <w:rPr>
                <w:sz w:val="15"/>
                <w:szCs w:val="15"/>
                <w:color w:val="auto"/>
              </w:rPr>
            </w:pPr>
          </w:p>
        </w:tc>
      </w:tr>
      <w:tr>
        <w:trPr>
          <w:trHeight w:val="238"/>
        </w:trPr>
        <w:tc>
          <w:tcPr>
            <w:tcW w:w="760" w:type="dxa"/>
            <w:vAlign w:val="bottom"/>
          </w:tcPr>
          <w:p>
            <w:pPr>
              <w:spacing w:after="0"/>
              <w:rPr>
                <w:sz w:val="20"/>
                <w:szCs w:val="20"/>
                <w:color w:val="auto"/>
              </w:rPr>
            </w:pPr>
          </w:p>
        </w:tc>
        <w:tc>
          <w:tcPr>
            <w:tcW w:w="8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2002</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3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101.INS</w:t>
            </w:r>
          </w:p>
        </w:tc>
        <w:tc>
          <w:tcPr>
            <w:tcW w:w="8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XBRL Instance Document.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3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101.SCH</w:t>
            </w:r>
          </w:p>
        </w:tc>
        <w:tc>
          <w:tcPr>
            <w:tcW w:w="8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3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101.CAL</w:t>
            </w:r>
          </w:p>
        </w:tc>
        <w:tc>
          <w:tcPr>
            <w:tcW w:w="8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29"/>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101.DEF</w:t>
            </w:r>
          </w:p>
        </w:tc>
        <w:tc>
          <w:tcPr>
            <w:tcW w:w="8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3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101.LAB</w:t>
            </w:r>
          </w:p>
        </w:tc>
        <w:tc>
          <w:tcPr>
            <w:tcW w:w="8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34"/>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101.PRE</w:t>
            </w:r>
          </w:p>
        </w:tc>
        <w:tc>
          <w:tcPr>
            <w:tcW w:w="8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Filed herewith</w:t>
            </w:r>
          </w:p>
        </w:tc>
      </w:tr>
    </w:tbl>
    <w:p>
      <w:pPr>
        <w:ind w:left="1060" w:right="3400" w:hanging="206"/>
        <w:spacing w:after="0" w:line="292" w:lineRule="auto"/>
        <w:tabs>
          <w:tab w:leader="none" w:pos="127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Cover Page Interactive Data File (formatted as Inline XBRL and contained in Exhibit 101). </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7"/>
          <w:szCs w:val="17"/>
          <w:color w:val="auto"/>
        </w:rPr>
        <w:t>Management contract, compensatory plan or arrangement.</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FN 1</w:t>
            </w:r>
          </w:p>
        </w:tc>
        <w:tc>
          <w:tcPr>
            <w:tcW w:w="103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This document, filed with the Securities and Exchange Commission in Washington, D.C. (file number 1-07183) as Exhibit 3.1 to our</w:t>
            </w:r>
          </w:p>
        </w:tc>
      </w:tr>
      <w:tr>
        <w:trPr>
          <w:trHeight w:val="234"/>
        </w:trPr>
        <w:tc>
          <w:tcPr>
            <w:tcW w:w="880" w:type="dxa"/>
            <w:vAlign w:val="bottom"/>
          </w:tcPr>
          <w:p>
            <w:pPr>
              <w:spacing w:after="0"/>
              <w:rPr>
                <w:sz w:val="20"/>
                <w:szCs w:val="20"/>
                <w:color w:val="auto"/>
              </w:rPr>
            </w:pPr>
          </w:p>
        </w:tc>
        <w:tc>
          <w:tcPr>
            <w:tcW w:w="103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Quarterly Report on Form 10-Q for the period ended June 30, 2021, is incorporated herein by reference.</w:t>
            </w:r>
          </w:p>
        </w:tc>
      </w:tr>
      <w:tr>
        <w:trPr>
          <w:trHeight w:val="184"/>
        </w:trPr>
        <w:tc>
          <w:tcPr>
            <w:tcW w:w="8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FN 2</w:t>
            </w:r>
          </w:p>
        </w:tc>
        <w:tc>
          <w:tcPr>
            <w:tcW w:w="10360" w:type="dxa"/>
            <w:vAlign w:val="bottom"/>
          </w:tcPr>
          <w:p>
            <w:pPr>
              <w:ind w:left="500"/>
              <w:spacing w:after="0" w:line="184" w:lineRule="exact"/>
              <w:rPr>
                <w:sz w:val="20"/>
                <w:szCs w:val="20"/>
                <w:color w:val="auto"/>
              </w:rPr>
            </w:pPr>
            <w:r>
              <w:rPr>
                <w:rFonts w:ascii="Times New Roman" w:cs="Times New Roman" w:eastAsia="Times New Roman" w:hAnsi="Times New Roman"/>
                <w:sz w:val="18"/>
                <w:szCs w:val="18"/>
                <w:color w:val="auto"/>
              </w:rPr>
              <w:t>This document, filed with the Securities and Exchange Commission in Washington, D.C. (file number 1-07183) as Exhibit 3.1 to our</w:t>
            </w:r>
          </w:p>
        </w:tc>
      </w:tr>
      <w:tr>
        <w:trPr>
          <w:trHeight w:val="234"/>
        </w:trPr>
        <w:tc>
          <w:tcPr>
            <w:tcW w:w="880" w:type="dxa"/>
            <w:vAlign w:val="bottom"/>
          </w:tcPr>
          <w:p>
            <w:pPr>
              <w:spacing w:after="0"/>
              <w:rPr>
                <w:sz w:val="20"/>
                <w:szCs w:val="20"/>
                <w:color w:val="auto"/>
              </w:rPr>
            </w:pPr>
          </w:p>
        </w:tc>
        <w:tc>
          <w:tcPr>
            <w:tcW w:w="103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Current Report on Form 8-K filed on March 24, 2023, is incorporated herein by reference.</w:t>
            </w:r>
          </w:p>
        </w:tc>
      </w:tr>
      <w:tr>
        <w:trPr>
          <w:trHeight w:val="859"/>
        </w:trPr>
        <w:tc>
          <w:tcPr>
            <w:tcW w:w="880" w:type="dxa"/>
            <w:vAlign w:val="bottom"/>
          </w:tcPr>
          <w:p>
            <w:pPr>
              <w:spacing w:after="0"/>
              <w:rPr>
                <w:sz w:val="24"/>
                <w:szCs w:val="24"/>
                <w:color w:val="auto"/>
              </w:rPr>
            </w:pPr>
          </w:p>
        </w:tc>
        <w:tc>
          <w:tcPr>
            <w:tcW w:w="10360" w:type="dxa"/>
            <w:vAlign w:val="bottom"/>
          </w:tcPr>
          <w:p>
            <w:pPr>
              <w:ind w:left="4660"/>
              <w:spacing w:after="0"/>
              <w:rPr>
                <w:sz w:val="20"/>
                <w:szCs w:val="20"/>
                <w:color w:val="auto"/>
              </w:rPr>
            </w:pPr>
            <w:r>
              <w:rPr>
                <w:rFonts w:ascii="Times New Roman" w:cs="Times New Roman" w:eastAsia="Times New Roman" w:hAnsi="Times New Roman"/>
                <w:sz w:val="18"/>
                <w:szCs w:val="18"/>
                <w:color w:val="auto"/>
              </w:rPr>
              <w:t>46</w:t>
            </w:r>
          </w:p>
        </w:tc>
      </w:tr>
      <w:tr>
        <w:trPr>
          <w:trHeight w:val="115"/>
        </w:trPr>
        <w:tc>
          <w:tcPr>
            <w:tcW w:w="880" w:type="dxa"/>
            <w:vAlign w:val="bottom"/>
            <w:tcBorders>
              <w:bottom w:val="single" w:sz="8" w:color="9A9A9A"/>
            </w:tcBorders>
          </w:tcPr>
          <w:p>
            <w:pPr>
              <w:spacing w:after="0"/>
              <w:rPr>
                <w:sz w:val="10"/>
                <w:szCs w:val="10"/>
                <w:color w:val="auto"/>
              </w:rPr>
            </w:pPr>
          </w:p>
        </w:tc>
        <w:tc>
          <w:tcPr>
            <w:tcW w:w="103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07"/>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FN 5</w:t>
            </w:r>
          </w:p>
        </w:tc>
        <w:tc>
          <w:tcPr>
            <w:tcW w:w="10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This document, filed with the Securities and Exchange Commission in Washington, D.C. (file number 1-07183) as Exhibit 4.1 to our</w:t>
            </w:r>
          </w:p>
        </w:tc>
      </w:tr>
      <w:tr>
        <w:trPr>
          <w:trHeight w:val="234"/>
        </w:trPr>
        <w:tc>
          <w:tcPr>
            <w:tcW w:w="920" w:type="dxa"/>
            <w:vAlign w:val="bottom"/>
          </w:tcPr>
          <w:p>
            <w:pPr>
              <w:spacing w:after="0"/>
              <w:rPr>
                <w:sz w:val="20"/>
                <w:szCs w:val="20"/>
                <w:color w:val="auto"/>
              </w:rPr>
            </w:pPr>
          </w:p>
        </w:tc>
        <w:tc>
          <w:tcPr>
            <w:tcW w:w="10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Current Report on Form 8-K filed on December 20, 2005, is incorporated herein by reference.</w:t>
            </w:r>
          </w:p>
        </w:tc>
      </w:tr>
      <w:tr>
        <w:trPr>
          <w:trHeight w:val="184"/>
        </w:trPr>
        <w:tc>
          <w:tcPr>
            <w:tcW w:w="9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FN 6</w:t>
            </w:r>
          </w:p>
        </w:tc>
        <w:tc>
          <w:tcPr>
            <w:tcW w:w="10320" w:type="dxa"/>
            <w:vAlign w:val="bottom"/>
          </w:tcPr>
          <w:p>
            <w:pPr>
              <w:ind w:left="460"/>
              <w:spacing w:after="0" w:line="184" w:lineRule="exact"/>
              <w:rPr>
                <w:sz w:val="20"/>
                <w:szCs w:val="20"/>
                <w:color w:val="auto"/>
              </w:rPr>
            </w:pPr>
            <w:r>
              <w:rPr>
                <w:rFonts w:ascii="Times New Roman" w:cs="Times New Roman" w:eastAsia="Times New Roman" w:hAnsi="Times New Roman"/>
                <w:sz w:val="18"/>
                <w:szCs w:val="18"/>
                <w:color w:val="auto"/>
              </w:rPr>
              <w:t>This document, filed with the Securities and Exchange Commission in Washington, D.C. (file number 1-07183) under Item 14 to our</w:t>
            </w:r>
          </w:p>
        </w:tc>
      </w:tr>
      <w:tr>
        <w:trPr>
          <w:trHeight w:val="184"/>
        </w:trPr>
        <w:tc>
          <w:tcPr>
            <w:tcW w:w="920" w:type="dxa"/>
            <w:vAlign w:val="bottom"/>
          </w:tcPr>
          <w:p>
            <w:pPr>
              <w:spacing w:after="0"/>
              <w:rPr>
                <w:sz w:val="16"/>
                <w:szCs w:val="16"/>
                <w:color w:val="auto"/>
              </w:rPr>
            </w:pPr>
          </w:p>
        </w:tc>
        <w:tc>
          <w:tcPr>
            <w:tcW w:w="10320" w:type="dxa"/>
            <w:vAlign w:val="bottom"/>
          </w:tcPr>
          <w:p>
            <w:pPr>
              <w:ind w:left="460"/>
              <w:spacing w:after="0" w:line="184" w:lineRule="exact"/>
              <w:rPr>
                <w:sz w:val="20"/>
                <w:szCs w:val="20"/>
                <w:color w:val="auto"/>
              </w:rPr>
            </w:pPr>
            <w:r>
              <w:rPr>
                <w:rFonts w:ascii="Times New Roman" w:cs="Times New Roman" w:eastAsia="Times New Roman" w:hAnsi="Times New Roman"/>
                <w:sz w:val="18"/>
                <w:szCs w:val="18"/>
                <w:color w:val="auto"/>
              </w:rPr>
              <w:t>Annual Report on Form 10-K for the year ended December 31, 1994, is incorporated herein by reference. This Exhibit was not filed</w:t>
            </w:r>
          </w:p>
        </w:tc>
      </w:tr>
      <w:tr>
        <w:trPr>
          <w:trHeight w:val="229"/>
        </w:trPr>
        <w:tc>
          <w:tcPr>
            <w:tcW w:w="920" w:type="dxa"/>
            <w:vAlign w:val="bottom"/>
          </w:tcPr>
          <w:p>
            <w:pPr>
              <w:spacing w:after="0"/>
              <w:rPr>
                <w:sz w:val="19"/>
                <w:szCs w:val="19"/>
                <w:color w:val="auto"/>
              </w:rPr>
            </w:pPr>
          </w:p>
        </w:tc>
        <w:tc>
          <w:tcPr>
            <w:tcW w:w="10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with the Securities and Exchange Commission in an electronic format.</w:t>
            </w:r>
          </w:p>
        </w:tc>
      </w:tr>
      <w:tr>
        <w:trPr>
          <w:trHeight w:val="180"/>
        </w:trPr>
        <w:tc>
          <w:tcPr>
            <w:tcW w:w="9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FN 7</w:t>
            </w:r>
          </w:p>
        </w:tc>
        <w:tc>
          <w:tcPr>
            <w:tcW w:w="10320" w:type="dxa"/>
            <w:vAlign w:val="bottom"/>
          </w:tcPr>
          <w:p>
            <w:pPr>
              <w:ind w:left="460"/>
              <w:spacing w:after="0" w:line="181" w:lineRule="exact"/>
              <w:rPr>
                <w:sz w:val="20"/>
                <w:szCs w:val="20"/>
                <w:color w:val="auto"/>
              </w:rPr>
            </w:pPr>
            <w:r>
              <w:rPr>
                <w:rFonts w:ascii="Times New Roman" w:cs="Times New Roman" w:eastAsia="Times New Roman" w:hAnsi="Times New Roman"/>
                <w:sz w:val="18"/>
                <w:szCs w:val="18"/>
                <w:color w:val="auto"/>
              </w:rPr>
              <w:t>This document, filed with the Securities and Exchange Commission in Washington, D.C. (file number 1-07183) under Item 14 to our</w:t>
            </w:r>
          </w:p>
        </w:tc>
      </w:tr>
      <w:tr>
        <w:trPr>
          <w:trHeight w:val="234"/>
        </w:trPr>
        <w:tc>
          <w:tcPr>
            <w:tcW w:w="920" w:type="dxa"/>
            <w:vAlign w:val="bottom"/>
          </w:tcPr>
          <w:p>
            <w:pPr>
              <w:spacing w:after="0"/>
              <w:rPr>
                <w:sz w:val="20"/>
                <w:szCs w:val="20"/>
                <w:color w:val="auto"/>
              </w:rPr>
            </w:pPr>
          </w:p>
        </w:tc>
        <w:tc>
          <w:tcPr>
            <w:tcW w:w="10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Annual Report on Form 10-K for the year ended December 31, 1997, is incorporated herein by reference.</w:t>
            </w:r>
          </w:p>
        </w:tc>
      </w:tr>
      <w:tr>
        <w:trPr>
          <w:trHeight w:val="184"/>
        </w:trPr>
        <w:tc>
          <w:tcPr>
            <w:tcW w:w="9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FN 9</w:t>
            </w:r>
          </w:p>
        </w:tc>
        <w:tc>
          <w:tcPr>
            <w:tcW w:w="10320" w:type="dxa"/>
            <w:vAlign w:val="bottom"/>
          </w:tcPr>
          <w:p>
            <w:pPr>
              <w:ind w:left="460"/>
              <w:spacing w:after="0" w:line="184" w:lineRule="exact"/>
              <w:rPr>
                <w:sz w:val="20"/>
                <w:szCs w:val="20"/>
                <w:color w:val="auto"/>
              </w:rPr>
            </w:pPr>
            <w:r>
              <w:rPr>
                <w:rFonts w:ascii="Times New Roman" w:cs="Times New Roman" w:eastAsia="Times New Roman" w:hAnsi="Times New Roman"/>
                <w:sz w:val="18"/>
                <w:szCs w:val="18"/>
                <w:color w:val="auto"/>
              </w:rPr>
              <w:t>This document, filed with the Securities and Exchange Commission in Washington, D.C. (file number 1-07183) as Exhibit 10.10 to our</w:t>
            </w:r>
          </w:p>
        </w:tc>
      </w:tr>
      <w:tr>
        <w:trPr>
          <w:trHeight w:val="234"/>
        </w:trPr>
        <w:tc>
          <w:tcPr>
            <w:tcW w:w="920" w:type="dxa"/>
            <w:vAlign w:val="bottom"/>
          </w:tcPr>
          <w:p>
            <w:pPr>
              <w:spacing w:after="0"/>
              <w:rPr>
                <w:sz w:val="20"/>
                <w:szCs w:val="20"/>
                <w:color w:val="auto"/>
              </w:rPr>
            </w:pPr>
          </w:p>
        </w:tc>
        <w:tc>
          <w:tcPr>
            <w:tcW w:w="10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Annual Report on Form 10-K for the year ended December 31, 2008, is incorporated herein by reference</w:t>
            </w:r>
          </w:p>
        </w:tc>
      </w:tr>
      <w:tr>
        <w:trPr>
          <w:trHeight w:val="184"/>
        </w:trPr>
        <w:tc>
          <w:tcPr>
            <w:tcW w:w="9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FN 10</w:t>
            </w:r>
          </w:p>
        </w:tc>
        <w:tc>
          <w:tcPr>
            <w:tcW w:w="10320" w:type="dxa"/>
            <w:vAlign w:val="bottom"/>
          </w:tcPr>
          <w:p>
            <w:pPr>
              <w:ind w:left="460"/>
              <w:spacing w:after="0" w:line="184" w:lineRule="exact"/>
              <w:rPr>
                <w:sz w:val="20"/>
                <w:szCs w:val="20"/>
                <w:color w:val="auto"/>
              </w:rPr>
            </w:pPr>
            <w:r>
              <w:rPr>
                <w:rFonts w:ascii="Times New Roman" w:cs="Times New Roman" w:eastAsia="Times New Roman" w:hAnsi="Times New Roman"/>
                <w:sz w:val="18"/>
                <w:szCs w:val="18"/>
                <w:color w:val="auto"/>
              </w:rPr>
              <w:t>This document filed with the Securities and Exchange Commission in Washington, D.C. (file number 1-07183) as Exhibit 10.16 to our</w:t>
            </w:r>
          </w:p>
        </w:tc>
      </w:tr>
      <w:tr>
        <w:trPr>
          <w:trHeight w:val="234"/>
        </w:trPr>
        <w:tc>
          <w:tcPr>
            <w:tcW w:w="920" w:type="dxa"/>
            <w:vAlign w:val="bottom"/>
          </w:tcPr>
          <w:p>
            <w:pPr>
              <w:spacing w:after="0"/>
              <w:rPr>
                <w:sz w:val="20"/>
                <w:szCs w:val="20"/>
                <w:color w:val="auto"/>
              </w:rPr>
            </w:pPr>
          </w:p>
        </w:tc>
        <w:tc>
          <w:tcPr>
            <w:tcW w:w="10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Annual Report on Form 10-K for the year ended December 31, 2001, is incorporated herein by reference.</w:t>
            </w:r>
          </w:p>
        </w:tc>
      </w:tr>
      <w:tr>
        <w:trPr>
          <w:trHeight w:val="184"/>
        </w:trPr>
        <w:tc>
          <w:tcPr>
            <w:tcW w:w="9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FN 11</w:t>
            </w:r>
          </w:p>
        </w:tc>
        <w:tc>
          <w:tcPr>
            <w:tcW w:w="10320" w:type="dxa"/>
            <w:vAlign w:val="bottom"/>
          </w:tcPr>
          <w:p>
            <w:pPr>
              <w:ind w:left="460"/>
              <w:spacing w:after="0" w:line="184" w:lineRule="exact"/>
              <w:rPr>
                <w:sz w:val="20"/>
                <w:szCs w:val="20"/>
                <w:color w:val="auto"/>
              </w:rPr>
            </w:pPr>
            <w:r>
              <w:rPr>
                <w:rFonts w:ascii="Times New Roman" w:cs="Times New Roman" w:eastAsia="Times New Roman" w:hAnsi="Times New Roman"/>
                <w:sz w:val="18"/>
                <w:szCs w:val="18"/>
                <w:color w:val="auto"/>
              </w:rPr>
              <w:t>This document, filed with the Securities and Exchange Commission in Washington, D.C. (file number 1-07183) as Exhibit 4.1 to our</w:t>
            </w:r>
          </w:p>
        </w:tc>
      </w:tr>
      <w:tr>
        <w:trPr>
          <w:trHeight w:val="234"/>
        </w:trPr>
        <w:tc>
          <w:tcPr>
            <w:tcW w:w="920" w:type="dxa"/>
            <w:vAlign w:val="bottom"/>
          </w:tcPr>
          <w:p>
            <w:pPr>
              <w:spacing w:after="0"/>
              <w:rPr>
                <w:sz w:val="20"/>
                <w:szCs w:val="20"/>
                <w:color w:val="auto"/>
              </w:rPr>
            </w:pPr>
          </w:p>
        </w:tc>
        <w:tc>
          <w:tcPr>
            <w:tcW w:w="10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Current Report on Form 8-K filed on May 7, 2004, is incorporated herein by reference.</w:t>
            </w:r>
          </w:p>
        </w:tc>
      </w:tr>
      <w:tr>
        <w:trPr>
          <w:trHeight w:val="184"/>
        </w:trPr>
        <w:tc>
          <w:tcPr>
            <w:tcW w:w="9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FN 12</w:t>
            </w:r>
          </w:p>
        </w:tc>
        <w:tc>
          <w:tcPr>
            <w:tcW w:w="10320" w:type="dxa"/>
            <w:vAlign w:val="bottom"/>
          </w:tcPr>
          <w:p>
            <w:pPr>
              <w:ind w:left="460"/>
              <w:spacing w:after="0" w:line="184" w:lineRule="exact"/>
              <w:rPr>
                <w:sz w:val="20"/>
                <w:szCs w:val="20"/>
                <w:color w:val="auto"/>
              </w:rPr>
            </w:pPr>
            <w:r>
              <w:rPr>
                <w:rFonts w:ascii="Times New Roman" w:cs="Times New Roman" w:eastAsia="Times New Roman" w:hAnsi="Times New Roman"/>
                <w:sz w:val="18"/>
                <w:szCs w:val="18"/>
                <w:color w:val="auto"/>
              </w:rPr>
              <w:t>This document, filed with the Securities and Exchange Commission in Washington, D.C. (file number 1-07183) as Exhibit 4.2 to our</w:t>
            </w:r>
          </w:p>
        </w:tc>
      </w:tr>
      <w:tr>
        <w:trPr>
          <w:trHeight w:val="234"/>
        </w:trPr>
        <w:tc>
          <w:tcPr>
            <w:tcW w:w="920" w:type="dxa"/>
            <w:vAlign w:val="bottom"/>
          </w:tcPr>
          <w:p>
            <w:pPr>
              <w:spacing w:after="0"/>
              <w:rPr>
                <w:sz w:val="20"/>
                <w:szCs w:val="20"/>
                <w:color w:val="auto"/>
              </w:rPr>
            </w:pPr>
          </w:p>
        </w:tc>
        <w:tc>
          <w:tcPr>
            <w:tcW w:w="10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Current Report on Form 8-K filed on May 7, 2004, is incorporated herein by reference.</w:t>
            </w:r>
          </w:p>
        </w:tc>
      </w:tr>
      <w:tr>
        <w:trPr>
          <w:trHeight w:val="184"/>
        </w:trPr>
        <w:tc>
          <w:tcPr>
            <w:tcW w:w="9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FN 13</w:t>
            </w:r>
          </w:p>
        </w:tc>
        <w:tc>
          <w:tcPr>
            <w:tcW w:w="10320" w:type="dxa"/>
            <w:vAlign w:val="bottom"/>
          </w:tcPr>
          <w:p>
            <w:pPr>
              <w:ind w:left="460"/>
              <w:spacing w:after="0" w:line="184" w:lineRule="exact"/>
              <w:rPr>
                <w:sz w:val="20"/>
                <w:szCs w:val="20"/>
                <w:color w:val="auto"/>
              </w:rPr>
            </w:pPr>
            <w:r>
              <w:rPr>
                <w:rFonts w:ascii="Times New Roman" w:cs="Times New Roman" w:eastAsia="Times New Roman" w:hAnsi="Times New Roman"/>
                <w:sz w:val="18"/>
                <w:szCs w:val="18"/>
                <w:color w:val="auto"/>
              </w:rPr>
              <w:t>This document, filed with the Securities and Exchange Commission in Washington, D.C. (file number 1-07183) as Exhibits 10.21-10.23</w:t>
            </w:r>
          </w:p>
        </w:tc>
      </w:tr>
      <w:tr>
        <w:trPr>
          <w:trHeight w:val="234"/>
        </w:trPr>
        <w:tc>
          <w:tcPr>
            <w:tcW w:w="920" w:type="dxa"/>
            <w:vAlign w:val="bottom"/>
          </w:tcPr>
          <w:p>
            <w:pPr>
              <w:spacing w:after="0"/>
              <w:rPr>
                <w:sz w:val="20"/>
                <w:szCs w:val="20"/>
                <w:color w:val="auto"/>
              </w:rPr>
            </w:pPr>
          </w:p>
        </w:tc>
        <w:tc>
          <w:tcPr>
            <w:tcW w:w="10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 our Annual Report on Form 10-K for the year ended December 31, 2004, is incorporated herein by reference.</w:t>
            </w:r>
          </w:p>
        </w:tc>
      </w:tr>
      <w:tr>
        <w:trPr>
          <w:trHeight w:val="184"/>
        </w:trPr>
        <w:tc>
          <w:tcPr>
            <w:tcW w:w="9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FN 14</w:t>
            </w:r>
          </w:p>
        </w:tc>
        <w:tc>
          <w:tcPr>
            <w:tcW w:w="10320" w:type="dxa"/>
            <w:vAlign w:val="bottom"/>
          </w:tcPr>
          <w:p>
            <w:pPr>
              <w:ind w:left="460"/>
              <w:spacing w:after="0" w:line="184" w:lineRule="exact"/>
              <w:rPr>
                <w:sz w:val="20"/>
                <w:szCs w:val="20"/>
                <w:color w:val="auto"/>
              </w:rPr>
            </w:pPr>
            <w:r>
              <w:rPr>
                <w:rFonts w:ascii="Times New Roman" w:cs="Times New Roman" w:eastAsia="Times New Roman" w:hAnsi="Times New Roman"/>
                <w:sz w:val="18"/>
                <w:szCs w:val="18"/>
                <w:color w:val="auto"/>
              </w:rPr>
              <w:t>This document, filed with the Securities and Exchange Commission in Washington, D.C. (file number 1-07183) as Exhibit 10.24 to our</w:t>
            </w:r>
          </w:p>
        </w:tc>
      </w:tr>
      <w:tr>
        <w:trPr>
          <w:trHeight w:val="234"/>
        </w:trPr>
        <w:tc>
          <w:tcPr>
            <w:tcW w:w="920" w:type="dxa"/>
            <w:vAlign w:val="bottom"/>
          </w:tcPr>
          <w:p>
            <w:pPr>
              <w:spacing w:after="0"/>
              <w:rPr>
                <w:sz w:val="20"/>
                <w:szCs w:val="20"/>
                <w:color w:val="auto"/>
              </w:rPr>
            </w:pPr>
          </w:p>
        </w:tc>
        <w:tc>
          <w:tcPr>
            <w:tcW w:w="10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Current Report on Form 8-K filed on May 24, 2006, is incorporated herein by reference.</w:t>
            </w:r>
          </w:p>
        </w:tc>
      </w:tr>
      <w:tr>
        <w:trPr>
          <w:trHeight w:val="184"/>
        </w:trPr>
        <w:tc>
          <w:tcPr>
            <w:tcW w:w="9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FN 15</w:t>
            </w:r>
          </w:p>
        </w:tc>
        <w:tc>
          <w:tcPr>
            <w:tcW w:w="10320" w:type="dxa"/>
            <w:vAlign w:val="bottom"/>
          </w:tcPr>
          <w:p>
            <w:pPr>
              <w:ind w:left="460"/>
              <w:spacing w:after="0" w:line="184" w:lineRule="exact"/>
              <w:rPr>
                <w:sz w:val="20"/>
                <w:szCs w:val="20"/>
                <w:color w:val="auto"/>
              </w:rPr>
            </w:pPr>
            <w:r>
              <w:rPr>
                <w:rFonts w:ascii="Times New Roman" w:cs="Times New Roman" w:eastAsia="Times New Roman" w:hAnsi="Times New Roman"/>
                <w:sz w:val="18"/>
                <w:szCs w:val="18"/>
                <w:color w:val="auto"/>
              </w:rPr>
              <w:t>This document, filed with the Securities and Exchange Commission in Washington, D.C. (file number 1-07183) as Exhibit 10.28 to our</w:t>
            </w:r>
          </w:p>
        </w:tc>
      </w:tr>
      <w:tr>
        <w:trPr>
          <w:trHeight w:val="234"/>
        </w:trPr>
        <w:tc>
          <w:tcPr>
            <w:tcW w:w="920" w:type="dxa"/>
            <w:vAlign w:val="bottom"/>
          </w:tcPr>
          <w:p>
            <w:pPr>
              <w:spacing w:after="0"/>
              <w:rPr>
                <w:sz w:val="20"/>
                <w:szCs w:val="20"/>
                <w:color w:val="auto"/>
              </w:rPr>
            </w:pPr>
          </w:p>
        </w:tc>
        <w:tc>
          <w:tcPr>
            <w:tcW w:w="10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Current Report on Form 8-K filed on June 23, 2008, is incorporated herein by reference.</w:t>
            </w:r>
          </w:p>
        </w:tc>
      </w:tr>
      <w:tr>
        <w:trPr>
          <w:trHeight w:val="184"/>
        </w:trPr>
        <w:tc>
          <w:tcPr>
            <w:tcW w:w="9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FN 16</w:t>
            </w:r>
          </w:p>
        </w:tc>
        <w:tc>
          <w:tcPr>
            <w:tcW w:w="10320" w:type="dxa"/>
            <w:vAlign w:val="bottom"/>
          </w:tcPr>
          <w:p>
            <w:pPr>
              <w:ind w:left="460"/>
              <w:spacing w:after="0" w:line="184" w:lineRule="exact"/>
              <w:rPr>
                <w:sz w:val="20"/>
                <w:szCs w:val="20"/>
                <w:color w:val="auto"/>
              </w:rPr>
            </w:pPr>
            <w:r>
              <w:rPr>
                <w:rFonts w:ascii="Times New Roman" w:cs="Times New Roman" w:eastAsia="Times New Roman" w:hAnsi="Times New Roman"/>
                <w:sz w:val="18"/>
                <w:szCs w:val="18"/>
                <w:color w:val="auto"/>
              </w:rPr>
              <w:t>This document, filed with the Securities and Exchange Commission in Washington, D.C. (file number 1-07183) as Exhibit 10.25 to our</w:t>
            </w:r>
          </w:p>
        </w:tc>
      </w:tr>
      <w:tr>
        <w:trPr>
          <w:trHeight w:val="234"/>
        </w:trPr>
        <w:tc>
          <w:tcPr>
            <w:tcW w:w="920" w:type="dxa"/>
            <w:vAlign w:val="bottom"/>
          </w:tcPr>
          <w:p>
            <w:pPr>
              <w:spacing w:after="0"/>
              <w:rPr>
                <w:sz w:val="20"/>
                <w:szCs w:val="20"/>
                <w:color w:val="auto"/>
              </w:rPr>
            </w:pPr>
          </w:p>
        </w:tc>
        <w:tc>
          <w:tcPr>
            <w:tcW w:w="10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Quarterly Report on Form 10-Q for the period ended June 30, 2009, is incorporated herein by reference.</w:t>
            </w:r>
          </w:p>
        </w:tc>
      </w:tr>
      <w:tr>
        <w:trPr>
          <w:trHeight w:val="184"/>
        </w:trPr>
        <w:tc>
          <w:tcPr>
            <w:tcW w:w="9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FN 17</w:t>
            </w:r>
          </w:p>
        </w:tc>
        <w:tc>
          <w:tcPr>
            <w:tcW w:w="10320" w:type="dxa"/>
            <w:vAlign w:val="bottom"/>
          </w:tcPr>
          <w:p>
            <w:pPr>
              <w:ind w:left="460"/>
              <w:spacing w:after="0" w:line="184" w:lineRule="exact"/>
              <w:rPr>
                <w:sz w:val="20"/>
                <w:szCs w:val="20"/>
                <w:color w:val="auto"/>
              </w:rPr>
            </w:pPr>
            <w:r>
              <w:rPr>
                <w:rFonts w:ascii="Times New Roman" w:cs="Times New Roman" w:eastAsia="Times New Roman" w:hAnsi="Times New Roman"/>
                <w:sz w:val="18"/>
                <w:szCs w:val="18"/>
                <w:color w:val="auto"/>
              </w:rPr>
              <w:t>This document, filed with the Securities and Exchange Commission in Washington, D.C. (file number 1-07183) as Exhibit 10.26 to our</w:t>
            </w:r>
          </w:p>
        </w:tc>
      </w:tr>
      <w:tr>
        <w:trPr>
          <w:trHeight w:val="184"/>
        </w:trPr>
        <w:tc>
          <w:tcPr>
            <w:tcW w:w="920" w:type="dxa"/>
            <w:vAlign w:val="bottom"/>
          </w:tcPr>
          <w:p>
            <w:pPr>
              <w:spacing w:after="0"/>
              <w:rPr>
                <w:sz w:val="16"/>
                <w:szCs w:val="16"/>
                <w:color w:val="auto"/>
              </w:rPr>
            </w:pPr>
          </w:p>
        </w:tc>
        <w:tc>
          <w:tcPr>
            <w:tcW w:w="10320" w:type="dxa"/>
            <w:vAlign w:val="bottom"/>
          </w:tcPr>
          <w:p>
            <w:pPr>
              <w:ind w:left="460"/>
              <w:spacing w:after="0" w:line="184" w:lineRule="exact"/>
              <w:rPr>
                <w:sz w:val="20"/>
                <w:szCs w:val="20"/>
                <w:color w:val="auto"/>
              </w:rPr>
            </w:pPr>
            <w:r>
              <w:rPr>
                <w:rFonts w:ascii="Times New Roman" w:cs="Times New Roman" w:eastAsia="Times New Roman" w:hAnsi="Times New Roman"/>
                <w:sz w:val="18"/>
                <w:szCs w:val="18"/>
                <w:color w:val="auto"/>
              </w:rPr>
              <w:t>Quarterly Report on Form 10-Q for the period ended March 31, 2013, for the period ended March 31, 2013, is incorporated herein by</w:t>
            </w:r>
          </w:p>
        </w:tc>
      </w:tr>
      <w:tr>
        <w:trPr>
          <w:trHeight w:val="230"/>
        </w:trPr>
        <w:tc>
          <w:tcPr>
            <w:tcW w:w="920" w:type="dxa"/>
            <w:vAlign w:val="bottom"/>
          </w:tcPr>
          <w:p>
            <w:pPr>
              <w:spacing w:after="0"/>
              <w:rPr>
                <w:sz w:val="19"/>
                <w:szCs w:val="19"/>
                <w:color w:val="auto"/>
              </w:rPr>
            </w:pPr>
          </w:p>
        </w:tc>
        <w:tc>
          <w:tcPr>
            <w:tcW w:w="10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reference.</w:t>
            </w:r>
          </w:p>
        </w:tc>
      </w:tr>
      <w:tr>
        <w:trPr>
          <w:trHeight w:val="180"/>
        </w:trPr>
        <w:tc>
          <w:tcPr>
            <w:tcW w:w="9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FN 18</w:t>
            </w:r>
          </w:p>
        </w:tc>
        <w:tc>
          <w:tcPr>
            <w:tcW w:w="10320" w:type="dxa"/>
            <w:vAlign w:val="bottom"/>
          </w:tcPr>
          <w:p>
            <w:pPr>
              <w:ind w:left="460"/>
              <w:spacing w:after="0" w:line="181" w:lineRule="exact"/>
              <w:rPr>
                <w:sz w:val="20"/>
                <w:szCs w:val="20"/>
                <w:color w:val="auto"/>
              </w:rPr>
            </w:pPr>
            <w:r>
              <w:rPr>
                <w:rFonts w:ascii="Times New Roman" w:cs="Times New Roman" w:eastAsia="Times New Roman" w:hAnsi="Times New Roman"/>
                <w:sz w:val="18"/>
                <w:szCs w:val="18"/>
                <w:color w:val="auto"/>
              </w:rPr>
              <w:t>This document, filed with the Securities and Exchange Commission in Washington, D.C. (file number 1-07183) as Exhibit 10.27 to our</w:t>
            </w:r>
          </w:p>
        </w:tc>
      </w:tr>
      <w:tr>
        <w:trPr>
          <w:trHeight w:val="234"/>
        </w:trPr>
        <w:tc>
          <w:tcPr>
            <w:tcW w:w="920" w:type="dxa"/>
            <w:vAlign w:val="bottom"/>
          </w:tcPr>
          <w:p>
            <w:pPr>
              <w:spacing w:after="0"/>
              <w:rPr>
                <w:sz w:val="20"/>
                <w:szCs w:val="20"/>
                <w:color w:val="auto"/>
              </w:rPr>
            </w:pPr>
          </w:p>
        </w:tc>
        <w:tc>
          <w:tcPr>
            <w:tcW w:w="10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Current Report on Form 8-K filed on June 4, 2013, is incorporated herein by reference.</w:t>
            </w:r>
          </w:p>
        </w:tc>
      </w:tr>
      <w:tr>
        <w:trPr>
          <w:trHeight w:val="184"/>
        </w:trPr>
        <w:tc>
          <w:tcPr>
            <w:tcW w:w="9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FN 19</w:t>
            </w:r>
          </w:p>
        </w:tc>
        <w:tc>
          <w:tcPr>
            <w:tcW w:w="10320" w:type="dxa"/>
            <w:vAlign w:val="bottom"/>
          </w:tcPr>
          <w:p>
            <w:pPr>
              <w:ind w:left="460"/>
              <w:spacing w:after="0" w:line="184" w:lineRule="exact"/>
              <w:rPr>
                <w:sz w:val="20"/>
                <w:szCs w:val="20"/>
                <w:color w:val="auto"/>
              </w:rPr>
            </w:pPr>
            <w:r>
              <w:rPr>
                <w:rFonts w:ascii="Times New Roman" w:cs="Times New Roman" w:eastAsia="Times New Roman" w:hAnsi="Times New Roman"/>
                <w:sz w:val="18"/>
                <w:szCs w:val="18"/>
                <w:color w:val="auto"/>
              </w:rPr>
              <w:t>This document, filed with the Securities and Exchange Commission in Washington, D.C. (file number 1-07183) as Exhibit 10.1 to our</w:t>
            </w:r>
          </w:p>
        </w:tc>
      </w:tr>
      <w:tr>
        <w:trPr>
          <w:trHeight w:val="234"/>
        </w:trPr>
        <w:tc>
          <w:tcPr>
            <w:tcW w:w="920" w:type="dxa"/>
            <w:vAlign w:val="bottom"/>
          </w:tcPr>
          <w:p>
            <w:pPr>
              <w:spacing w:after="0"/>
              <w:rPr>
                <w:sz w:val="20"/>
                <w:szCs w:val="20"/>
                <w:color w:val="auto"/>
              </w:rPr>
            </w:pPr>
          </w:p>
        </w:tc>
        <w:tc>
          <w:tcPr>
            <w:tcW w:w="10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Current Report on Form 8-K filed on August 8, 2013, is incorporated herein by reference.</w:t>
            </w:r>
          </w:p>
        </w:tc>
      </w:tr>
      <w:tr>
        <w:trPr>
          <w:trHeight w:val="184"/>
        </w:trPr>
        <w:tc>
          <w:tcPr>
            <w:tcW w:w="9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FN 20</w:t>
            </w:r>
          </w:p>
        </w:tc>
        <w:tc>
          <w:tcPr>
            <w:tcW w:w="10320" w:type="dxa"/>
            <w:vAlign w:val="bottom"/>
          </w:tcPr>
          <w:p>
            <w:pPr>
              <w:ind w:left="460"/>
              <w:spacing w:after="0" w:line="184" w:lineRule="exact"/>
              <w:rPr>
                <w:sz w:val="20"/>
                <w:szCs w:val="20"/>
                <w:color w:val="auto"/>
              </w:rPr>
            </w:pPr>
            <w:r>
              <w:rPr>
                <w:rFonts w:ascii="Times New Roman" w:cs="Times New Roman" w:eastAsia="Times New Roman" w:hAnsi="Times New Roman"/>
                <w:sz w:val="18"/>
                <w:szCs w:val="18"/>
                <w:color w:val="auto"/>
              </w:rPr>
              <w:t>This document, filed with the Securities and Exchange Commission in Washington, D.C. (file number 1-07183) as Exhibit 10.29 to our</w:t>
            </w:r>
          </w:p>
        </w:tc>
      </w:tr>
      <w:tr>
        <w:trPr>
          <w:trHeight w:val="234"/>
        </w:trPr>
        <w:tc>
          <w:tcPr>
            <w:tcW w:w="920" w:type="dxa"/>
            <w:vAlign w:val="bottom"/>
          </w:tcPr>
          <w:p>
            <w:pPr>
              <w:spacing w:after="0"/>
              <w:rPr>
                <w:sz w:val="20"/>
                <w:szCs w:val="20"/>
                <w:color w:val="auto"/>
              </w:rPr>
            </w:pPr>
          </w:p>
        </w:tc>
        <w:tc>
          <w:tcPr>
            <w:tcW w:w="10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Amended Annual Report on Form 10-K/A for the year ended December 31, 2013, is incorporated herein by reference.</w:t>
            </w:r>
          </w:p>
        </w:tc>
      </w:tr>
      <w:tr>
        <w:trPr>
          <w:trHeight w:val="184"/>
        </w:trPr>
        <w:tc>
          <w:tcPr>
            <w:tcW w:w="9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FN 21</w:t>
            </w:r>
          </w:p>
        </w:tc>
        <w:tc>
          <w:tcPr>
            <w:tcW w:w="10320" w:type="dxa"/>
            <w:vAlign w:val="bottom"/>
          </w:tcPr>
          <w:p>
            <w:pPr>
              <w:ind w:left="460"/>
              <w:spacing w:after="0" w:line="184" w:lineRule="exact"/>
              <w:rPr>
                <w:sz w:val="20"/>
                <w:szCs w:val="20"/>
                <w:color w:val="auto"/>
              </w:rPr>
            </w:pPr>
            <w:r>
              <w:rPr>
                <w:rFonts w:ascii="Times New Roman" w:cs="Times New Roman" w:eastAsia="Times New Roman" w:hAnsi="Times New Roman"/>
                <w:sz w:val="18"/>
                <w:szCs w:val="18"/>
                <w:color w:val="auto"/>
              </w:rPr>
              <w:t>This document, filed with the Securities and Exchange Commission in Washington, D.C. (file number 1-07183) as Exhibit 10.30 to our</w:t>
            </w:r>
          </w:p>
        </w:tc>
      </w:tr>
      <w:tr>
        <w:trPr>
          <w:trHeight w:val="234"/>
        </w:trPr>
        <w:tc>
          <w:tcPr>
            <w:tcW w:w="920" w:type="dxa"/>
            <w:vAlign w:val="bottom"/>
          </w:tcPr>
          <w:p>
            <w:pPr>
              <w:spacing w:after="0"/>
              <w:rPr>
                <w:sz w:val="20"/>
                <w:szCs w:val="20"/>
                <w:color w:val="auto"/>
              </w:rPr>
            </w:pPr>
          </w:p>
        </w:tc>
        <w:tc>
          <w:tcPr>
            <w:tcW w:w="10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Current Report on Form 8-K filed on July 16, 2014, is incorporated herein by reference.</w:t>
            </w:r>
          </w:p>
        </w:tc>
      </w:tr>
      <w:tr>
        <w:trPr>
          <w:trHeight w:val="184"/>
        </w:trPr>
        <w:tc>
          <w:tcPr>
            <w:tcW w:w="9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FN 22</w:t>
            </w:r>
          </w:p>
        </w:tc>
        <w:tc>
          <w:tcPr>
            <w:tcW w:w="10320" w:type="dxa"/>
            <w:vAlign w:val="bottom"/>
          </w:tcPr>
          <w:p>
            <w:pPr>
              <w:ind w:left="460"/>
              <w:spacing w:after="0" w:line="184" w:lineRule="exact"/>
              <w:rPr>
                <w:sz w:val="20"/>
                <w:szCs w:val="20"/>
                <w:color w:val="auto"/>
              </w:rPr>
            </w:pPr>
            <w:r>
              <w:rPr>
                <w:rFonts w:ascii="Times New Roman" w:cs="Times New Roman" w:eastAsia="Times New Roman" w:hAnsi="Times New Roman"/>
                <w:sz w:val="18"/>
                <w:szCs w:val="18"/>
                <w:color w:val="auto"/>
              </w:rPr>
              <w:t>This document, filed with the Securities and Exchange Commission in Washington, D.C. (file number 1-07183) as Exhibits 10.31 to our</w:t>
            </w:r>
          </w:p>
        </w:tc>
      </w:tr>
      <w:tr>
        <w:trPr>
          <w:trHeight w:val="234"/>
        </w:trPr>
        <w:tc>
          <w:tcPr>
            <w:tcW w:w="920" w:type="dxa"/>
            <w:vAlign w:val="bottom"/>
          </w:tcPr>
          <w:p>
            <w:pPr>
              <w:spacing w:after="0"/>
              <w:rPr>
                <w:sz w:val="20"/>
                <w:szCs w:val="20"/>
                <w:color w:val="auto"/>
              </w:rPr>
            </w:pPr>
          </w:p>
        </w:tc>
        <w:tc>
          <w:tcPr>
            <w:tcW w:w="10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Current Report on Form 8-K filed on October 17, 2014, is incorporated herein by reference.</w:t>
            </w:r>
          </w:p>
        </w:tc>
      </w:tr>
      <w:tr>
        <w:trPr>
          <w:trHeight w:val="184"/>
        </w:trPr>
        <w:tc>
          <w:tcPr>
            <w:tcW w:w="9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FN 23</w:t>
            </w:r>
          </w:p>
        </w:tc>
        <w:tc>
          <w:tcPr>
            <w:tcW w:w="10320" w:type="dxa"/>
            <w:vAlign w:val="bottom"/>
          </w:tcPr>
          <w:p>
            <w:pPr>
              <w:ind w:left="460"/>
              <w:spacing w:after="0" w:line="184" w:lineRule="exact"/>
              <w:rPr>
                <w:sz w:val="20"/>
                <w:szCs w:val="20"/>
                <w:color w:val="auto"/>
              </w:rPr>
            </w:pPr>
            <w:r>
              <w:rPr>
                <w:rFonts w:ascii="Times New Roman" w:cs="Times New Roman" w:eastAsia="Times New Roman" w:hAnsi="Times New Roman"/>
                <w:sz w:val="18"/>
                <w:szCs w:val="18"/>
                <w:color w:val="auto"/>
              </w:rPr>
              <w:t>This document, filed with the Securities and Exchange Commission in Washington, D.C. (file number 1-07183) as Exhibit 10.34 to our</w:t>
            </w:r>
          </w:p>
        </w:tc>
      </w:tr>
      <w:tr>
        <w:trPr>
          <w:trHeight w:val="234"/>
        </w:trPr>
        <w:tc>
          <w:tcPr>
            <w:tcW w:w="920" w:type="dxa"/>
            <w:vAlign w:val="bottom"/>
          </w:tcPr>
          <w:p>
            <w:pPr>
              <w:spacing w:after="0"/>
              <w:rPr>
                <w:sz w:val="20"/>
                <w:szCs w:val="20"/>
                <w:color w:val="auto"/>
              </w:rPr>
            </w:pPr>
          </w:p>
        </w:tc>
        <w:tc>
          <w:tcPr>
            <w:tcW w:w="10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Annual Report on Form 10-K for the year ended December 31, 2014, is incorporated herein by reference.</w:t>
            </w:r>
          </w:p>
        </w:tc>
      </w:tr>
      <w:tr>
        <w:trPr>
          <w:trHeight w:val="184"/>
        </w:trPr>
        <w:tc>
          <w:tcPr>
            <w:tcW w:w="9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FN 24</w:t>
            </w:r>
          </w:p>
        </w:tc>
        <w:tc>
          <w:tcPr>
            <w:tcW w:w="10320" w:type="dxa"/>
            <w:vAlign w:val="bottom"/>
          </w:tcPr>
          <w:p>
            <w:pPr>
              <w:ind w:left="460"/>
              <w:spacing w:after="0" w:line="184" w:lineRule="exact"/>
              <w:rPr>
                <w:sz w:val="20"/>
                <w:szCs w:val="20"/>
                <w:color w:val="auto"/>
              </w:rPr>
            </w:pPr>
            <w:r>
              <w:rPr>
                <w:rFonts w:ascii="Times New Roman" w:cs="Times New Roman" w:eastAsia="Times New Roman" w:hAnsi="Times New Roman"/>
                <w:sz w:val="18"/>
                <w:szCs w:val="18"/>
                <w:color w:val="auto"/>
              </w:rPr>
              <w:t>This document, filed with the Securities and Exchange Commission in Washington, D.C. (file number 1-07183) as Exhibit 10.35 to our</w:t>
            </w:r>
          </w:p>
        </w:tc>
      </w:tr>
      <w:tr>
        <w:trPr>
          <w:trHeight w:val="234"/>
        </w:trPr>
        <w:tc>
          <w:tcPr>
            <w:tcW w:w="920" w:type="dxa"/>
            <w:vAlign w:val="bottom"/>
          </w:tcPr>
          <w:p>
            <w:pPr>
              <w:spacing w:after="0"/>
              <w:rPr>
                <w:sz w:val="20"/>
                <w:szCs w:val="20"/>
                <w:color w:val="auto"/>
              </w:rPr>
            </w:pPr>
          </w:p>
        </w:tc>
        <w:tc>
          <w:tcPr>
            <w:tcW w:w="10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Quarterly Report on Form 10-Q for the period ended June 30, 2015, is incorporated herein by reference.</w:t>
            </w:r>
          </w:p>
        </w:tc>
      </w:tr>
      <w:tr>
        <w:trPr>
          <w:trHeight w:val="184"/>
        </w:trPr>
        <w:tc>
          <w:tcPr>
            <w:tcW w:w="9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FN 25</w:t>
            </w:r>
          </w:p>
        </w:tc>
        <w:tc>
          <w:tcPr>
            <w:tcW w:w="10320" w:type="dxa"/>
            <w:vAlign w:val="bottom"/>
          </w:tcPr>
          <w:p>
            <w:pPr>
              <w:ind w:left="460"/>
              <w:spacing w:after="0" w:line="184" w:lineRule="exact"/>
              <w:rPr>
                <w:sz w:val="20"/>
                <w:szCs w:val="20"/>
                <w:color w:val="auto"/>
              </w:rPr>
            </w:pPr>
            <w:r>
              <w:rPr>
                <w:rFonts w:ascii="Times New Roman" w:cs="Times New Roman" w:eastAsia="Times New Roman" w:hAnsi="Times New Roman"/>
                <w:sz w:val="18"/>
                <w:szCs w:val="18"/>
                <w:color w:val="auto"/>
              </w:rPr>
              <w:t>This document, filed with the Securities and Exchange Commission in Washington, D.C. (file number 1-07183) as Exhibit 10.32 to our</w:t>
            </w:r>
          </w:p>
        </w:tc>
      </w:tr>
      <w:tr>
        <w:trPr>
          <w:trHeight w:val="234"/>
        </w:trPr>
        <w:tc>
          <w:tcPr>
            <w:tcW w:w="920" w:type="dxa"/>
            <w:vAlign w:val="bottom"/>
          </w:tcPr>
          <w:p>
            <w:pPr>
              <w:spacing w:after="0"/>
              <w:rPr>
                <w:sz w:val="20"/>
                <w:szCs w:val="20"/>
                <w:color w:val="auto"/>
              </w:rPr>
            </w:pPr>
          </w:p>
        </w:tc>
        <w:tc>
          <w:tcPr>
            <w:tcW w:w="10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Current Report on Form 8-K filed on October 17, 2014, is incorporated herein by reference.</w:t>
            </w:r>
          </w:p>
        </w:tc>
      </w:tr>
      <w:tr>
        <w:trPr>
          <w:trHeight w:val="873"/>
        </w:trPr>
        <w:tc>
          <w:tcPr>
            <w:tcW w:w="920" w:type="dxa"/>
            <w:vAlign w:val="bottom"/>
          </w:tcPr>
          <w:p>
            <w:pPr>
              <w:spacing w:after="0"/>
              <w:rPr>
                <w:sz w:val="24"/>
                <w:szCs w:val="24"/>
                <w:color w:val="auto"/>
              </w:rPr>
            </w:pPr>
          </w:p>
        </w:tc>
        <w:tc>
          <w:tcPr>
            <w:tcW w:w="10320" w:type="dxa"/>
            <w:vAlign w:val="bottom"/>
          </w:tcPr>
          <w:p>
            <w:pPr>
              <w:ind w:left="4620"/>
              <w:spacing w:after="0"/>
              <w:rPr>
                <w:sz w:val="20"/>
                <w:szCs w:val="20"/>
                <w:color w:val="auto"/>
              </w:rPr>
            </w:pPr>
            <w:r>
              <w:rPr>
                <w:rFonts w:ascii="Times New Roman" w:cs="Times New Roman" w:eastAsia="Times New Roman" w:hAnsi="Times New Roman"/>
                <w:sz w:val="18"/>
                <w:szCs w:val="18"/>
                <w:color w:val="auto"/>
              </w:rPr>
              <w:t>47</w:t>
            </w:r>
          </w:p>
        </w:tc>
      </w:tr>
      <w:tr>
        <w:trPr>
          <w:trHeight w:val="115"/>
        </w:trPr>
        <w:tc>
          <w:tcPr>
            <w:tcW w:w="920" w:type="dxa"/>
            <w:vAlign w:val="bottom"/>
            <w:tcBorders>
              <w:bottom w:val="single" w:sz="8" w:color="9A9A9A"/>
            </w:tcBorders>
          </w:tcPr>
          <w:p>
            <w:pPr>
              <w:spacing w:after="0"/>
              <w:rPr>
                <w:sz w:val="10"/>
                <w:szCs w:val="10"/>
                <w:color w:val="auto"/>
              </w:rPr>
            </w:pPr>
          </w:p>
        </w:tc>
        <w:tc>
          <w:tcPr>
            <w:tcW w:w="103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05"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07"/>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FN 26</w:t>
            </w:r>
          </w:p>
        </w:tc>
        <w:tc>
          <w:tcPr>
            <w:tcW w:w="10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This document, filed with the Securities and Exchange Commission in Washington, D.C. (file number 1-07183) as Exhibit 10.37 to our</w:t>
            </w:r>
          </w:p>
        </w:tc>
      </w:tr>
      <w:tr>
        <w:trPr>
          <w:trHeight w:val="234"/>
        </w:trPr>
        <w:tc>
          <w:tcPr>
            <w:tcW w:w="920" w:type="dxa"/>
            <w:vAlign w:val="bottom"/>
          </w:tcPr>
          <w:p>
            <w:pPr>
              <w:spacing w:after="0"/>
              <w:rPr>
                <w:sz w:val="20"/>
                <w:szCs w:val="20"/>
                <w:color w:val="auto"/>
              </w:rPr>
            </w:pPr>
          </w:p>
        </w:tc>
        <w:tc>
          <w:tcPr>
            <w:tcW w:w="10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Quarterly Report on Form 10-Q for the period ended June 30, 2016, is incorporated herein by reference.</w:t>
            </w:r>
          </w:p>
        </w:tc>
      </w:tr>
      <w:tr>
        <w:trPr>
          <w:trHeight w:val="184"/>
        </w:trPr>
        <w:tc>
          <w:tcPr>
            <w:tcW w:w="9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FN 27</w:t>
            </w:r>
          </w:p>
        </w:tc>
        <w:tc>
          <w:tcPr>
            <w:tcW w:w="10320" w:type="dxa"/>
            <w:vAlign w:val="bottom"/>
          </w:tcPr>
          <w:p>
            <w:pPr>
              <w:ind w:left="460"/>
              <w:spacing w:after="0" w:line="184" w:lineRule="exact"/>
              <w:rPr>
                <w:sz w:val="20"/>
                <w:szCs w:val="20"/>
                <w:color w:val="auto"/>
              </w:rPr>
            </w:pPr>
            <w:r>
              <w:rPr>
                <w:rFonts w:ascii="Times New Roman" w:cs="Times New Roman" w:eastAsia="Times New Roman" w:hAnsi="Times New Roman"/>
                <w:sz w:val="18"/>
                <w:szCs w:val="18"/>
                <w:color w:val="auto"/>
              </w:rPr>
              <w:t>This document, filed with the Securities and Exchange Commission in Washington, D.C. (file number 1-07183) as Exhibit 10.38 to our</w:t>
            </w:r>
          </w:p>
        </w:tc>
      </w:tr>
      <w:tr>
        <w:trPr>
          <w:trHeight w:val="234"/>
        </w:trPr>
        <w:tc>
          <w:tcPr>
            <w:tcW w:w="920" w:type="dxa"/>
            <w:vAlign w:val="bottom"/>
          </w:tcPr>
          <w:p>
            <w:pPr>
              <w:spacing w:after="0"/>
              <w:rPr>
                <w:sz w:val="20"/>
                <w:szCs w:val="20"/>
                <w:color w:val="auto"/>
              </w:rPr>
            </w:pPr>
          </w:p>
        </w:tc>
        <w:tc>
          <w:tcPr>
            <w:tcW w:w="10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Quarterly Report on Form 10-Q for the period ended September 30, 2016, is incorporated herein by reference.</w:t>
            </w:r>
          </w:p>
        </w:tc>
      </w:tr>
      <w:tr>
        <w:trPr>
          <w:trHeight w:val="184"/>
        </w:trPr>
        <w:tc>
          <w:tcPr>
            <w:tcW w:w="9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FN 28</w:t>
            </w:r>
          </w:p>
        </w:tc>
        <w:tc>
          <w:tcPr>
            <w:tcW w:w="10320" w:type="dxa"/>
            <w:vAlign w:val="bottom"/>
          </w:tcPr>
          <w:p>
            <w:pPr>
              <w:ind w:left="460"/>
              <w:spacing w:after="0" w:line="184" w:lineRule="exact"/>
              <w:rPr>
                <w:sz w:val="20"/>
                <w:szCs w:val="20"/>
                <w:color w:val="auto"/>
              </w:rPr>
            </w:pPr>
            <w:r>
              <w:rPr>
                <w:rFonts w:ascii="Times New Roman" w:cs="Times New Roman" w:eastAsia="Times New Roman" w:hAnsi="Times New Roman"/>
                <w:sz w:val="18"/>
                <w:szCs w:val="18"/>
                <w:color w:val="auto"/>
              </w:rPr>
              <w:t>This document, filed with the Securities and Exchange Commission in Washington, D.C. (file number 1-07183) as Exhibit 10.39 to our</w:t>
            </w:r>
          </w:p>
        </w:tc>
      </w:tr>
      <w:tr>
        <w:trPr>
          <w:trHeight w:val="234"/>
        </w:trPr>
        <w:tc>
          <w:tcPr>
            <w:tcW w:w="920" w:type="dxa"/>
            <w:vAlign w:val="bottom"/>
          </w:tcPr>
          <w:p>
            <w:pPr>
              <w:spacing w:after="0"/>
              <w:rPr>
                <w:sz w:val="20"/>
                <w:szCs w:val="20"/>
                <w:color w:val="auto"/>
              </w:rPr>
            </w:pPr>
          </w:p>
        </w:tc>
        <w:tc>
          <w:tcPr>
            <w:tcW w:w="10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Annual Report on Form 10-K for the year ended December 31, 2016, is incorporated herein by reference.</w:t>
            </w:r>
          </w:p>
        </w:tc>
      </w:tr>
      <w:tr>
        <w:trPr>
          <w:trHeight w:val="184"/>
        </w:trPr>
        <w:tc>
          <w:tcPr>
            <w:tcW w:w="9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FN 29</w:t>
            </w:r>
          </w:p>
        </w:tc>
        <w:tc>
          <w:tcPr>
            <w:tcW w:w="10320" w:type="dxa"/>
            <w:vAlign w:val="bottom"/>
          </w:tcPr>
          <w:p>
            <w:pPr>
              <w:ind w:left="460"/>
              <w:spacing w:after="0" w:line="184" w:lineRule="exact"/>
              <w:rPr>
                <w:sz w:val="20"/>
                <w:szCs w:val="20"/>
                <w:color w:val="auto"/>
              </w:rPr>
            </w:pPr>
            <w:r>
              <w:rPr>
                <w:rFonts w:ascii="Times New Roman" w:cs="Times New Roman" w:eastAsia="Times New Roman" w:hAnsi="Times New Roman"/>
                <w:sz w:val="18"/>
                <w:szCs w:val="18"/>
                <w:color w:val="auto"/>
              </w:rPr>
              <w:t>This document, filed with the Securities and Exchange Commission in Washington, D.C. (file number 1-07183) as Exhibit 10.40 to our</w:t>
            </w:r>
          </w:p>
        </w:tc>
      </w:tr>
      <w:tr>
        <w:trPr>
          <w:trHeight w:val="234"/>
        </w:trPr>
        <w:tc>
          <w:tcPr>
            <w:tcW w:w="920" w:type="dxa"/>
            <w:vAlign w:val="bottom"/>
          </w:tcPr>
          <w:p>
            <w:pPr>
              <w:spacing w:after="0"/>
              <w:rPr>
                <w:sz w:val="20"/>
                <w:szCs w:val="20"/>
                <w:color w:val="auto"/>
              </w:rPr>
            </w:pPr>
          </w:p>
        </w:tc>
        <w:tc>
          <w:tcPr>
            <w:tcW w:w="10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Annual Report on Form 10-K for the year ended December 31, 2016, is incorporated herein by reference.</w:t>
            </w:r>
          </w:p>
        </w:tc>
      </w:tr>
      <w:tr>
        <w:trPr>
          <w:trHeight w:val="184"/>
        </w:trPr>
        <w:tc>
          <w:tcPr>
            <w:tcW w:w="9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FN 30</w:t>
            </w:r>
          </w:p>
        </w:tc>
        <w:tc>
          <w:tcPr>
            <w:tcW w:w="10320" w:type="dxa"/>
            <w:vAlign w:val="bottom"/>
          </w:tcPr>
          <w:p>
            <w:pPr>
              <w:ind w:left="460"/>
              <w:spacing w:after="0" w:line="184" w:lineRule="exact"/>
              <w:rPr>
                <w:sz w:val="20"/>
                <w:szCs w:val="20"/>
                <w:color w:val="auto"/>
              </w:rPr>
            </w:pPr>
            <w:r>
              <w:rPr>
                <w:rFonts w:ascii="Times New Roman" w:cs="Times New Roman" w:eastAsia="Times New Roman" w:hAnsi="Times New Roman"/>
                <w:sz w:val="18"/>
                <w:szCs w:val="18"/>
                <w:color w:val="auto"/>
              </w:rPr>
              <w:t>This document, filed with the Securities and Exchange Commission in Washington, D.C. (file number 1-07183) as Exhibit 10.41 to our</w:t>
            </w:r>
          </w:p>
        </w:tc>
      </w:tr>
      <w:tr>
        <w:trPr>
          <w:trHeight w:val="234"/>
        </w:trPr>
        <w:tc>
          <w:tcPr>
            <w:tcW w:w="920" w:type="dxa"/>
            <w:vAlign w:val="bottom"/>
          </w:tcPr>
          <w:p>
            <w:pPr>
              <w:spacing w:after="0"/>
              <w:rPr>
                <w:sz w:val="20"/>
                <w:szCs w:val="20"/>
                <w:color w:val="auto"/>
              </w:rPr>
            </w:pPr>
          </w:p>
        </w:tc>
        <w:tc>
          <w:tcPr>
            <w:tcW w:w="10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Annual Report on Form 10-K for the year ended December 31, 2016, is incorporated herein by reference.</w:t>
            </w:r>
          </w:p>
        </w:tc>
      </w:tr>
      <w:tr>
        <w:trPr>
          <w:trHeight w:val="184"/>
        </w:trPr>
        <w:tc>
          <w:tcPr>
            <w:tcW w:w="9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FN 31</w:t>
            </w:r>
          </w:p>
        </w:tc>
        <w:tc>
          <w:tcPr>
            <w:tcW w:w="10320" w:type="dxa"/>
            <w:vAlign w:val="bottom"/>
          </w:tcPr>
          <w:p>
            <w:pPr>
              <w:ind w:left="460"/>
              <w:spacing w:after="0" w:line="184" w:lineRule="exact"/>
              <w:rPr>
                <w:sz w:val="20"/>
                <w:szCs w:val="20"/>
                <w:color w:val="auto"/>
              </w:rPr>
            </w:pPr>
            <w:r>
              <w:rPr>
                <w:rFonts w:ascii="Times New Roman" w:cs="Times New Roman" w:eastAsia="Times New Roman" w:hAnsi="Times New Roman"/>
                <w:sz w:val="18"/>
                <w:szCs w:val="18"/>
                <w:color w:val="auto"/>
              </w:rPr>
              <w:t>This document, filed with the Securities and Exchange Commission in Washington, D.C. (file number 1-07183) as Exhibit 10.42 to our</w:t>
            </w:r>
          </w:p>
        </w:tc>
      </w:tr>
      <w:tr>
        <w:trPr>
          <w:trHeight w:val="234"/>
        </w:trPr>
        <w:tc>
          <w:tcPr>
            <w:tcW w:w="920" w:type="dxa"/>
            <w:vAlign w:val="bottom"/>
          </w:tcPr>
          <w:p>
            <w:pPr>
              <w:spacing w:after="0"/>
              <w:rPr>
                <w:sz w:val="20"/>
                <w:szCs w:val="20"/>
                <w:color w:val="auto"/>
              </w:rPr>
            </w:pPr>
          </w:p>
        </w:tc>
        <w:tc>
          <w:tcPr>
            <w:tcW w:w="10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Quarterly Report on Form 10-Q for the period ended September 30, 2018, is incorporated herein by reference.</w:t>
            </w:r>
          </w:p>
        </w:tc>
      </w:tr>
      <w:tr>
        <w:trPr>
          <w:trHeight w:val="184"/>
        </w:trPr>
        <w:tc>
          <w:tcPr>
            <w:tcW w:w="9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FN 32</w:t>
            </w:r>
          </w:p>
        </w:tc>
        <w:tc>
          <w:tcPr>
            <w:tcW w:w="10320" w:type="dxa"/>
            <w:vAlign w:val="bottom"/>
          </w:tcPr>
          <w:p>
            <w:pPr>
              <w:ind w:left="460"/>
              <w:spacing w:after="0" w:line="184" w:lineRule="exact"/>
              <w:rPr>
                <w:sz w:val="20"/>
                <w:szCs w:val="20"/>
                <w:color w:val="auto"/>
              </w:rPr>
            </w:pPr>
            <w:r>
              <w:rPr>
                <w:rFonts w:ascii="Times New Roman" w:cs="Times New Roman" w:eastAsia="Times New Roman" w:hAnsi="Times New Roman"/>
                <w:sz w:val="18"/>
                <w:szCs w:val="18"/>
                <w:color w:val="auto"/>
              </w:rPr>
              <w:t>This document, filed with the Securities and Exchange Commission in Washington, D.C. (file number 1-07183) as Exhibit 10.43 to our</w:t>
            </w:r>
          </w:p>
        </w:tc>
      </w:tr>
      <w:tr>
        <w:trPr>
          <w:trHeight w:val="234"/>
        </w:trPr>
        <w:tc>
          <w:tcPr>
            <w:tcW w:w="920" w:type="dxa"/>
            <w:vAlign w:val="bottom"/>
          </w:tcPr>
          <w:p>
            <w:pPr>
              <w:spacing w:after="0"/>
              <w:rPr>
                <w:sz w:val="20"/>
                <w:szCs w:val="20"/>
                <w:color w:val="auto"/>
              </w:rPr>
            </w:pPr>
          </w:p>
        </w:tc>
        <w:tc>
          <w:tcPr>
            <w:tcW w:w="10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Annual Report on Form 10-K for the year ended December 31, 2018, is incorporated herein by reference.</w:t>
            </w:r>
          </w:p>
        </w:tc>
      </w:tr>
      <w:tr>
        <w:trPr>
          <w:trHeight w:val="184"/>
        </w:trPr>
        <w:tc>
          <w:tcPr>
            <w:tcW w:w="9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FN 33</w:t>
            </w:r>
          </w:p>
        </w:tc>
        <w:tc>
          <w:tcPr>
            <w:tcW w:w="10320" w:type="dxa"/>
            <w:vAlign w:val="bottom"/>
          </w:tcPr>
          <w:p>
            <w:pPr>
              <w:ind w:left="460"/>
              <w:spacing w:after="0" w:line="184" w:lineRule="exact"/>
              <w:rPr>
                <w:sz w:val="20"/>
                <w:szCs w:val="20"/>
                <w:color w:val="auto"/>
              </w:rPr>
            </w:pPr>
            <w:r>
              <w:rPr>
                <w:rFonts w:ascii="Times New Roman" w:cs="Times New Roman" w:eastAsia="Times New Roman" w:hAnsi="Times New Roman"/>
                <w:sz w:val="18"/>
                <w:szCs w:val="18"/>
                <w:color w:val="auto"/>
              </w:rPr>
              <w:t>This document, filed with the Securities and Exchange Commission in Washington, D.C. (file number 1-07183) as Exhibit 10.44 to our</w:t>
            </w:r>
          </w:p>
        </w:tc>
      </w:tr>
      <w:tr>
        <w:trPr>
          <w:trHeight w:val="234"/>
        </w:trPr>
        <w:tc>
          <w:tcPr>
            <w:tcW w:w="920" w:type="dxa"/>
            <w:vAlign w:val="bottom"/>
          </w:tcPr>
          <w:p>
            <w:pPr>
              <w:spacing w:after="0"/>
              <w:rPr>
                <w:sz w:val="20"/>
                <w:szCs w:val="20"/>
                <w:color w:val="auto"/>
              </w:rPr>
            </w:pPr>
          </w:p>
        </w:tc>
        <w:tc>
          <w:tcPr>
            <w:tcW w:w="10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Annual Report on Form 10-K for the year ended December 31, 2018, is incorporated herein by reference.</w:t>
            </w:r>
          </w:p>
        </w:tc>
      </w:tr>
      <w:tr>
        <w:trPr>
          <w:trHeight w:val="184"/>
        </w:trPr>
        <w:tc>
          <w:tcPr>
            <w:tcW w:w="9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FN 34</w:t>
            </w:r>
          </w:p>
        </w:tc>
        <w:tc>
          <w:tcPr>
            <w:tcW w:w="10320" w:type="dxa"/>
            <w:vAlign w:val="bottom"/>
          </w:tcPr>
          <w:p>
            <w:pPr>
              <w:ind w:left="460"/>
              <w:spacing w:after="0" w:line="184" w:lineRule="exact"/>
              <w:rPr>
                <w:sz w:val="20"/>
                <w:szCs w:val="20"/>
                <w:color w:val="auto"/>
              </w:rPr>
            </w:pPr>
            <w:r>
              <w:rPr>
                <w:rFonts w:ascii="Times New Roman" w:cs="Times New Roman" w:eastAsia="Times New Roman" w:hAnsi="Times New Roman"/>
                <w:sz w:val="18"/>
                <w:szCs w:val="18"/>
                <w:color w:val="auto"/>
              </w:rPr>
              <w:t>This document, filed with the Securities and Exchange Commission in Washington, D.C. (file number 1-07183) as Exhibit 10.45 to our</w:t>
            </w:r>
          </w:p>
        </w:tc>
      </w:tr>
      <w:tr>
        <w:trPr>
          <w:trHeight w:val="234"/>
        </w:trPr>
        <w:tc>
          <w:tcPr>
            <w:tcW w:w="920" w:type="dxa"/>
            <w:vAlign w:val="bottom"/>
          </w:tcPr>
          <w:p>
            <w:pPr>
              <w:spacing w:after="0"/>
              <w:rPr>
                <w:sz w:val="20"/>
                <w:szCs w:val="20"/>
                <w:color w:val="auto"/>
              </w:rPr>
            </w:pPr>
          </w:p>
        </w:tc>
        <w:tc>
          <w:tcPr>
            <w:tcW w:w="10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Quarterly Report on Form 10-Q for the period ended September 30, 2019, is incorporated herein by reference.</w:t>
            </w:r>
          </w:p>
        </w:tc>
      </w:tr>
      <w:tr>
        <w:trPr>
          <w:trHeight w:val="184"/>
        </w:trPr>
        <w:tc>
          <w:tcPr>
            <w:tcW w:w="9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FN 35</w:t>
            </w:r>
          </w:p>
        </w:tc>
        <w:tc>
          <w:tcPr>
            <w:tcW w:w="10320" w:type="dxa"/>
            <w:vAlign w:val="bottom"/>
          </w:tcPr>
          <w:p>
            <w:pPr>
              <w:ind w:left="460"/>
              <w:spacing w:after="0" w:line="184" w:lineRule="exact"/>
              <w:rPr>
                <w:sz w:val="20"/>
                <w:szCs w:val="20"/>
                <w:color w:val="auto"/>
              </w:rPr>
            </w:pPr>
            <w:r>
              <w:rPr>
                <w:rFonts w:ascii="Times New Roman" w:cs="Times New Roman" w:eastAsia="Times New Roman" w:hAnsi="Times New Roman"/>
                <w:sz w:val="18"/>
                <w:szCs w:val="18"/>
                <w:color w:val="auto"/>
              </w:rPr>
              <w:t>This document, filed with the Securities and Exchange Commission in Washington, D.C. (file number 1-07183) as Exhibit 10.46 to our</w:t>
            </w:r>
          </w:p>
        </w:tc>
      </w:tr>
      <w:tr>
        <w:trPr>
          <w:trHeight w:val="234"/>
        </w:trPr>
        <w:tc>
          <w:tcPr>
            <w:tcW w:w="920" w:type="dxa"/>
            <w:vAlign w:val="bottom"/>
          </w:tcPr>
          <w:p>
            <w:pPr>
              <w:spacing w:after="0"/>
              <w:rPr>
                <w:sz w:val="20"/>
                <w:szCs w:val="20"/>
                <w:color w:val="auto"/>
              </w:rPr>
            </w:pPr>
          </w:p>
        </w:tc>
        <w:tc>
          <w:tcPr>
            <w:tcW w:w="10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Quarterly Report on Form 10-Q for the period ended September 30, 2019, is incorporated herein by reference.</w:t>
            </w:r>
          </w:p>
        </w:tc>
      </w:tr>
      <w:tr>
        <w:trPr>
          <w:trHeight w:val="184"/>
        </w:trPr>
        <w:tc>
          <w:tcPr>
            <w:tcW w:w="9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FN 36</w:t>
            </w:r>
          </w:p>
        </w:tc>
        <w:tc>
          <w:tcPr>
            <w:tcW w:w="10320" w:type="dxa"/>
            <w:vAlign w:val="bottom"/>
          </w:tcPr>
          <w:p>
            <w:pPr>
              <w:ind w:left="460"/>
              <w:spacing w:after="0" w:line="184" w:lineRule="exact"/>
              <w:rPr>
                <w:sz w:val="20"/>
                <w:szCs w:val="20"/>
                <w:color w:val="auto"/>
              </w:rPr>
            </w:pPr>
            <w:r>
              <w:rPr>
                <w:rFonts w:ascii="Times New Roman" w:cs="Times New Roman" w:eastAsia="Times New Roman" w:hAnsi="Times New Roman"/>
                <w:sz w:val="18"/>
                <w:szCs w:val="18"/>
                <w:color w:val="auto"/>
              </w:rPr>
              <w:t>This document, filed with the Securities and Exchange Commission in Washington, D.C. (file number 1-07183) as Exhibit 10.33 to our</w:t>
            </w:r>
          </w:p>
        </w:tc>
      </w:tr>
      <w:tr>
        <w:trPr>
          <w:trHeight w:val="234"/>
        </w:trPr>
        <w:tc>
          <w:tcPr>
            <w:tcW w:w="920" w:type="dxa"/>
            <w:vAlign w:val="bottom"/>
          </w:tcPr>
          <w:p>
            <w:pPr>
              <w:spacing w:after="0"/>
              <w:rPr>
                <w:sz w:val="20"/>
                <w:szCs w:val="20"/>
                <w:color w:val="auto"/>
              </w:rPr>
            </w:pPr>
          </w:p>
        </w:tc>
        <w:tc>
          <w:tcPr>
            <w:tcW w:w="10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Current Report on Form 8-K filed on October 17, 2014, is incorporated herein by reference.</w:t>
            </w:r>
          </w:p>
        </w:tc>
      </w:tr>
      <w:tr>
        <w:trPr>
          <w:trHeight w:val="184"/>
        </w:trPr>
        <w:tc>
          <w:tcPr>
            <w:tcW w:w="9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FN 37</w:t>
            </w:r>
          </w:p>
        </w:tc>
        <w:tc>
          <w:tcPr>
            <w:tcW w:w="10320" w:type="dxa"/>
            <w:vAlign w:val="bottom"/>
          </w:tcPr>
          <w:p>
            <w:pPr>
              <w:ind w:left="460"/>
              <w:spacing w:after="0" w:line="184" w:lineRule="exact"/>
              <w:rPr>
                <w:sz w:val="20"/>
                <w:szCs w:val="20"/>
                <w:color w:val="auto"/>
              </w:rPr>
            </w:pPr>
            <w:r>
              <w:rPr>
                <w:rFonts w:ascii="Times New Roman" w:cs="Times New Roman" w:eastAsia="Times New Roman" w:hAnsi="Times New Roman"/>
                <w:sz w:val="18"/>
                <w:szCs w:val="18"/>
                <w:color w:val="auto"/>
              </w:rPr>
              <w:t>This document, filed with the Securities and Exchange Commission in Washington, D.C. (file number 333-231032) as Exhibit 4.6 to</w:t>
            </w:r>
          </w:p>
        </w:tc>
      </w:tr>
      <w:tr>
        <w:trPr>
          <w:trHeight w:val="234"/>
        </w:trPr>
        <w:tc>
          <w:tcPr>
            <w:tcW w:w="920" w:type="dxa"/>
            <w:vAlign w:val="bottom"/>
          </w:tcPr>
          <w:p>
            <w:pPr>
              <w:spacing w:after="0"/>
              <w:rPr>
                <w:sz w:val="20"/>
                <w:szCs w:val="20"/>
                <w:color w:val="auto"/>
              </w:rPr>
            </w:pPr>
          </w:p>
        </w:tc>
        <w:tc>
          <w:tcPr>
            <w:tcW w:w="10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our Registration Statement on Form S-3 filed on April 25, 2019, is incorporated herein by reference.</w:t>
            </w:r>
          </w:p>
        </w:tc>
      </w:tr>
      <w:tr>
        <w:trPr>
          <w:trHeight w:val="184"/>
        </w:trPr>
        <w:tc>
          <w:tcPr>
            <w:tcW w:w="9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FN 38</w:t>
            </w:r>
          </w:p>
        </w:tc>
        <w:tc>
          <w:tcPr>
            <w:tcW w:w="10320" w:type="dxa"/>
            <w:vAlign w:val="bottom"/>
          </w:tcPr>
          <w:p>
            <w:pPr>
              <w:ind w:left="460"/>
              <w:spacing w:after="0" w:line="184" w:lineRule="exact"/>
              <w:rPr>
                <w:sz w:val="20"/>
                <w:szCs w:val="20"/>
                <w:color w:val="auto"/>
              </w:rPr>
            </w:pPr>
            <w:r>
              <w:rPr>
                <w:rFonts w:ascii="Times New Roman" w:cs="Times New Roman" w:eastAsia="Times New Roman" w:hAnsi="Times New Roman"/>
                <w:sz w:val="18"/>
                <w:szCs w:val="18"/>
                <w:color w:val="auto"/>
              </w:rPr>
              <w:t>This document, filed with the Securities and Exchange Commission in Washington, D.C. (file number 1-07183) as Exhibit 10.47 to our</w:t>
            </w:r>
          </w:p>
        </w:tc>
      </w:tr>
      <w:tr>
        <w:trPr>
          <w:trHeight w:val="234"/>
        </w:trPr>
        <w:tc>
          <w:tcPr>
            <w:tcW w:w="920" w:type="dxa"/>
            <w:vAlign w:val="bottom"/>
          </w:tcPr>
          <w:p>
            <w:pPr>
              <w:spacing w:after="0"/>
              <w:rPr>
                <w:sz w:val="20"/>
                <w:szCs w:val="20"/>
                <w:color w:val="auto"/>
              </w:rPr>
            </w:pPr>
          </w:p>
        </w:tc>
        <w:tc>
          <w:tcPr>
            <w:tcW w:w="10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Annual Report on Form 10-K for the year ended December 31, 2019, is incorporated herein by reference.</w:t>
            </w:r>
          </w:p>
        </w:tc>
      </w:tr>
      <w:tr>
        <w:trPr>
          <w:trHeight w:val="184"/>
        </w:trPr>
        <w:tc>
          <w:tcPr>
            <w:tcW w:w="9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FN 39</w:t>
            </w:r>
          </w:p>
        </w:tc>
        <w:tc>
          <w:tcPr>
            <w:tcW w:w="10320" w:type="dxa"/>
            <w:vAlign w:val="bottom"/>
          </w:tcPr>
          <w:p>
            <w:pPr>
              <w:ind w:left="460"/>
              <w:spacing w:after="0" w:line="184" w:lineRule="exact"/>
              <w:rPr>
                <w:sz w:val="20"/>
                <w:szCs w:val="20"/>
                <w:color w:val="auto"/>
              </w:rPr>
            </w:pPr>
            <w:r>
              <w:rPr>
                <w:rFonts w:ascii="Times New Roman" w:cs="Times New Roman" w:eastAsia="Times New Roman" w:hAnsi="Times New Roman"/>
                <w:sz w:val="18"/>
                <w:szCs w:val="18"/>
                <w:color w:val="auto"/>
              </w:rPr>
              <w:t>This document, filed with the Securities and Exchange Commission in Washington, D.C. (file number 1-07183) as Exhibit 10.48 to our</w:t>
            </w:r>
          </w:p>
        </w:tc>
      </w:tr>
      <w:tr>
        <w:trPr>
          <w:trHeight w:val="234"/>
        </w:trPr>
        <w:tc>
          <w:tcPr>
            <w:tcW w:w="920" w:type="dxa"/>
            <w:vAlign w:val="bottom"/>
          </w:tcPr>
          <w:p>
            <w:pPr>
              <w:spacing w:after="0"/>
              <w:rPr>
                <w:sz w:val="20"/>
                <w:szCs w:val="20"/>
                <w:color w:val="auto"/>
              </w:rPr>
            </w:pPr>
          </w:p>
        </w:tc>
        <w:tc>
          <w:tcPr>
            <w:tcW w:w="10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Quarterly Report on Form 10-Q for the period ended March 31, 2021, is incorporated herein by reference.</w:t>
            </w:r>
          </w:p>
        </w:tc>
      </w:tr>
      <w:tr>
        <w:trPr>
          <w:trHeight w:val="206"/>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FN 40</w:t>
            </w:r>
          </w:p>
        </w:tc>
        <w:tc>
          <w:tcPr>
            <w:tcW w:w="10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This document, filed with the Securities and Exchange Commission in Washington, D.C. (file number 1-07183) as Exhibit 10.49 to our</w:t>
            </w:r>
          </w:p>
        </w:tc>
      </w:tr>
      <w:tr>
        <w:trPr>
          <w:trHeight w:val="234"/>
        </w:trPr>
        <w:tc>
          <w:tcPr>
            <w:tcW w:w="920" w:type="dxa"/>
            <w:vAlign w:val="bottom"/>
          </w:tcPr>
          <w:p>
            <w:pPr>
              <w:spacing w:after="0"/>
              <w:rPr>
                <w:sz w:val="20"/>
                <w:szCs w:val="20"/>
                <w:color w:val="auto"/>
              </w:rPr>
            </w:pPr>
          </w:p>
        </w:tc>
        <w:tc>
          <w:tcPr>
            <w:tcW w:w="10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Annual Report on Form 10-K for the year ended December 31, 2021, is incorporated herein by reference.</w:t>
            </w:r>
          </w:p>
        </w:tc>
      </w:tr>
      <w:tr>
        <w:trPr>
          <w:trHeight w:val="225"/>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FN 41</w:t>
            </w:r>
          </w:p>
        </w:tc>
        <w:tc>
          <w:tcPr>
            <w:tcW w:w="10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This document, filed with the Securities and Exchange Commission in Washington, D.C. (file number 1-07183) as Exhibit 10.50 to our</w:t>
            </w:r>
          </w:p>
        </w:tc>
      </w:tr>
      <w:tr>
        <w:trPr>
          <w:trHeight w:val="234"/>
        </w:trPr>
        <w:tc>
          <w:tcPr>
            <w:tcW w:w="920" w:type="dxa"/>
            <w:vAlign w:val="bottom"/>
          </w:tcPr>
          <w:p>
            <w:pPr>
              <w:spacing w:after="0"/>
              <w:rPr>
                <w:sz w:val="20"/>
                <w:szCs w:val="20"/>
                <w:color w:val="auto"/>
              </w:rPr>
            </w:pPr>
          </w:p>
        </w:tc>
        <w:tc>
          <w:tcPr>
            <w:tcW w:w="10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Annual Report on Form 10-K for the year ended December 31, 2021, is incorporated herein by reference.</w:t>
            </w:r>
          </w:p>
        </w:tc>
      </w:tr>
      <w:tr>
        <w:trPr>
          <w:trHeight w:val="225"/>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FN 42</w:t>
            </w:r>
          </w:p>
        </w:tc>
        <w:tc>
          <w:tcPr>
            <w:tcW w:w="10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This document, filed with the Securities and Exchange Commission in Washington, D.C. (file number 1-07183) as Exhibit 10.51 to our</w:t>
            </w:r>
          </w:p>
        </w:tc>
      </w:tr>
      <w:tr>
        <w:trPr>
          <w:trHeight w:val="234"/>
        </w:trPr>
        <w:tc>
          <w:tcPr>
            <w:tcW w:w="920" w:type="dxa"/>
            <w:vAlign w:val="bottom"/>
          </w:tcPr>
          <w:p>
            <w:pPr>
              <w:spacing w:after="0"/>
              <w:rPr>
                <w:sz w:val="20"/>
                <w:szCs w:val="20"/>
                <w:color w:val="auto"/>
              </w:rPr>
            </w:pPr>
          </w:p>
        </w:tc>
        <w:tc>
          <w:tcPr>
            <w:tcW w:w="10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Quarterly Report on Form 10-Q for the period ended March 31, 2022, is incorporated herein by reference.</w:t>
            </w:r>
          </w:p>
        </w:tc>
      </w:tr>
      <w:tr>
        <w:trPr>
          <w:trHeight w:val="225"/>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FN 43</w:t>
            </w:r>
          </w:p>
        </w:tc>
        <w:tc>
          <w:tcPr>
            <w:tcW w:w="10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This document, filed with the Securities and Exchange Commission in Washington, D.C. (file number 1-07183) as Exhibit 10.52 to our</w:t>
            </w:r>
          </w:p>
        </w:tc>
      </w:tr>
      <w:tr>
        <w:trPr>
          <w:trHeight w:val="234"/>
        </w:trPr>
        <w:tc>
          <w:tcPr>
            <w:tcW w:w="920" w:type="dxa"/>
            <w:vAlign w:val="bottom"/>
          </w:tcPr>
          <w:p>
            <w:pPr>
              <w:spacing w:after="0"/>
              <w:rPr>
                <w:sz w:val="20"/>
                <w:szCs w:val="20"/>
                <w:color w:val="auto"/>
              </w:rPr>
            </w:pPr>
          </w:p>
        </w:tc>
        <w:tc>
          <w:tcPr>
            <w:tcW w:w="10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Quarterly Report on Form 10-Q for the period ended September 30, 2022, is incorporated herein by reference.</w:t>
            </w:r>
          </w:p>
        </w:tc>
      </w:tr>
      <w:tr>
        <w:trPr>
          <w:trHeight w:val="225"/>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FN 44</w:t>
            </w:r>
          </w:p>
        </w:tc>
        <w:tc>
          <w:tcPr>
            <w:tcW w:w="10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This document, filed with the Securities and Exchange Commission in Washington, D.C. (file number 1-07183) as Exhibit 10.53 to our</w:t>
            </w:r>
          </w:p>
        </w:tc>
      </w:tr>
      <w:tr>
        <w:trPr>
          <w:trHeight w:val="234"/>
        </w:trPr>
        <w:tc>
          <w:tcPr>
            <w:tcW w:w="920" w:type="dxa"/>
            <w:vAlign w:val="bottom"/>
          </w:tcPr>
          <w:p>
            <w:pPr>
              <w:spacing w:after="0"/>
              <w:rPr>
                <w:sz w:val="20"/>
                <w:szCs w:val="20"/>
                <w:color w:val="auto"/>
              </w:rPr>
            </w:pPr>
          </w:p>
        </w:tc>
        <w:tc>
          <w:tcPr>
            <w:tcW w:w="10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Quarterly Report on Form 10-Q for the period ended June 30, 2023, is incorporated herein by reference.</w:t>
            </w:r>
          </w:p>
        </w:tc>
      </w:tr>
      <w:tr>
        <w:trPr>
          <w:trHeight w:val="203"/>
        </w:trPr>
        <w:tc>
          <w:tcPr>
            <w:tcW w:w="92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FN 45</w:t>
            </w:r>
          </w:p>
        </w:tc>
        <w:tc>
          <w:tcPr>
            <w:tcW w:w="10320" w:type="dxa"/>
            <w:vAlign w:val="bottom"/>
          </w:tcPr>
          <w:p>
            <w:pPr>
              <w:ind w:left="460"/>
              <w:spacing w:after="0" w:line="202" w:lineRule="exact"/>
              <w:rPr>
                <w:sz w:val="20"/>
                <w:szCs w:val="20"/>
                <w:color w:val="auto"/>
              </w:rPr>
            </w:pPr>
            <w:r>
              <w:rPr>
                <w:rFonts w:ascii="Times New Roman" w:cs="Times New Roman" w:eastAsia="Times New Roman" w:hAnsi="Times New Roman"/>
                <w:sz w:val="18"/>
                <w:szCs w:val="18"/>
                <w:color w:val="auto"/>
              </w:rPr>
              <w:t>This document, filed with the Securities and Exchange Commission in Washington, D.C. (file number 1-07183) as Exhibit 10.01 to our</w:t>
            </w:r>
          </w:p>
        </w:tc>
      </w:tr>
      <w:tr>
        <w:trPr>
          <w:trHeight w:val="234"/>
        </w:trPr>
        <w:tc>
          <w:tcPr>
            <w:tcW w:w="920" w:type="dxa"/>
            <w:vAlign w:val="bottom"/>
          </w:tcPr>
          <w:p>
            <w:pPr>
              <w:spacing w:after="0"/>
              <w:rPr>
                <w:sz w:val="20"/>
                <w:szCs w:val="20"/>
                <w:color w:val="auto"/>
              </w:rPr>
            </w:pPr>
          </w:p>
        </w:tc>
        <w:tc>
          <w:tcPr>
            <w:tcW w:w="10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Current Report on Form 8-K on November 20, 2023, is incorporated herein by reference.</w:t>
            </w:r>
          </w:p>
        </w:tc>
      </w:tr>
      <w:tr>
        <w:trPr>
          <w:trHeight w:val="873"/>
        </w:trPr>
        <w:tc>
          <w:tcPr>
            <w:tcW w:w="920" w:type="dxa"/>
            <w:vAlign w:val="bottom"/>
          </w:tcPr>
          <w:p>
            <w:pPr>
              <w:spacing w:after="0"/>
              <w:rPr>
                <w:sz w:val="24"/>
                <w:szCs w:val="24"/>
                <w:color w:val="auto"/>
              </w:rPr>
            </w:pPr>
          </w:p>
        </w:tc>
        <w:tc>
          <w:tcPr>
            <w:tcW w:w="10320" w:type="dxa"/>
            <w:vAlign w:val="bottom"/>
          </w:tcPr>
          <w:p>
            <w:pPr>
              <w:ind w:left="4620"/>
              <w:spacing w:after="0"/>
              <w:rPr>
                <w:sz w:val="20"/>
                <w:szCs w:val="20"/>
                <w:color w:val="auto"/>
              </w:rPr>
            </w:pPr>
            <w:r>
              <w:rPr>
                <w:rFonts w:ascii="Times New Roman" w:cs="Times New Roman" w:eastAsia="Times New Roman" w:hAnsi="Times New Roman"/>
                <w:sz w:val="18"/>
                <w:szCs w:val="18"/>
                <w:color w:val="auto"/>
              </w:rPr>
              <w:t>48</w:t>
            </w:r>
          </w:p>
        </w:tc>
      </w:tr>
      <w:tr>
        <w:trPr>
          <w:trHeight w:val="115"/>
        </w:trPr>
        <w:tc>
          <w:tcPr>
            <w:tcW w:w="920" w:type="dxa"/>
            <w:vAlign w:val="bottom"/>
            <w:tcBorders>
              <w:bottom w:val="single" w:sz="8" w:color="9A9A9A"/>
            </w:tcBorders>
          </w:tcPr>
          <w:p>
            <w:pPr>
              <w:spacing w:after="0"/>
              <w:rPr>
                <w:sz w:val="10"/>
                <w:szCs w:val="10"/>
                <w:color w:val="auto"/>
              </w:rPr>
            </w:pPr>
          </w:p>
        </w:tc>
        <w:tc>
          <w:tcPr>
            <w:tcW w:w="103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05" w:right="3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07"/>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FN 46</w:t>
            </w:r>
          </w:p>
        </w:tc>
        <w:tc>
          <w:tcPr>
            <w:tcW w:w="10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This document, filed with the Securities and Exchange Commission in Washington, D.C. (file number 1-07183) as Exhibit 10.01 to our</w:t>
            </w:r>
          </w:p>
        </w:tc>
      </w:tr>
      <w:tr>
        <w:trPr>
          <w:trHeight w:val="234"/>
        </w:trPr>
        <w:tc>
          <w:tcPr>
            <w:tcW w:w="920" w:type="dxa"/>
            <w:vAlign w:val="bottom"/>
          </w:tcPr>
          <w:p>
            <w:pPr>
              <w:spacing w:after="0"/>
              <w:rPr>
                <w:sz w:val="20"/>
                <w:szCs w:val="20"/>
                <w:color w:val="auto"/>
              </w:rPr>
            </w:pPr>
          </w:p>
        </w:tc>
        <w:tc>
          <w:tcPr>
            <w:tcW w:w="10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Current Report on Form 8-K on March 26, 2024, is incorporated herein by reference.</w:t>
            </w:r>
          </w:p>
        </w:tc>
      </w:tr>
      <w:tr>
        <w:trPr>
          <w:trHeight w:val="873"/>
        </w:trPr>
        <w:tc>
          <w:tcPr>
            <w:tcW w:w="920" w:type="dxa"/>
            <w:vAlign w:val="bottom"/>
          </w:tcPr>
          <w:p>
            <w:pPr>
              <w:spacing w:after="0"/>
              <w:rPr>
                <w:sz w:val="24"/>
                <w:szCs w:val="24"/>
                <w:color w:val="auto"/>
              </w:rPr>
            </w:pPr>
          </w:p>
        </w:tc>
        <w:tc>
          <w:tcPr>
            <w:tcW w:w="10320" w:type="dxa"/>
            <w:vAlign w:val="bottom"/>
          </w:tcPr>
          <w:p>
            <w:pPr>
              <w:jc w:val="right"/>
              <w:ind w:right="5430"/>
              <w:spacing w:after="0"/>
              <w:rPr>
                <w:sz w:val="20"/>
                <w:szCs w:val="20"/>
                <w:color w:val="auto"/>
              </w:rPr>
            </w:pPr>
            <w:r>
              <w:rPr>
                <w:rFonts w:ascii="Times New Roman" w:cs="Times New Roman" w:eastAsia="Times New Roman" w:hAnsi="Times New Roman"/>
                <w:sz w:val="18"/>
                <w:szCs w:val="18"/>
                <w:color w:val="auto"/>
              </w:rPr>
              <w:t>49</w:t>
            </w:r>
          </w:p>
        </w:tc>
      </w:tr>
      <w:tr>
        <w:trPr>
          <w:trHeight w:val="115"/>
        </w:trPr>
        <w:tc>
          <w:tcPr>
            <w:tcW w:w="920" w:type="dxa"/>
            <w:vAlign w:val="bottom"/>
            <w:tcBorders>
              <w:bottom w:val="single" w:sz="8" w:color="9A9A9A"/>
            </w:tcBorders>
          </w:tcPr>
          <w:p>
            <w:pPr>
              <w:spacing w:after="0"/>
              <w:rPr>
                <w:sz w:val="10"/>
                <w:szCs w:val="10"/>
                <w:color w:val="auto"/>
              </w:rPr>
            </w:pPr>
          </w:p>
        </w:tc>
        <w:tc>
          <w:tcPr>
            <w:tcW w:w="103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05" w:right="339" w:bottom="1440" w:gutter="0" w:footer="0" w:header="0"/>
        </w:sectPr>
      </w:pPr>
    </w:p>
    <w:bookmarkStart w:id="49" w:name="page50"/>
    <w:bookmarkEnd w:id="4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9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TEJON RANCH CO.</w:t>
      </w:r>
    </w:p>
    <w:p>
      <w:pPr>
        <w:sectPr>
          <w:pgSz w:w="11900" w:h="16838" w:orient="portrait"/>
          <w:cols w:equalWidth="0" w:num="1">
            <w:col w:w="11200"/>
          </w:cols>
          <w:pgMar w:left="320" w:top="887" w:right="37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May 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86880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17">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May 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86880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18">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May 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86880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19">
                      <a:extLst>
                        <a:ext uri="{28A0092B-C50C-407E-A947-70E740481C1C}"/>
                      </a:extLst>
                    </a:blip>
                    <a:srcRect/>
                    <a:stretch>
                      <a:fillRect/>
                    </a:stretch>
                  </pic:blipFill>
                  <pic:spPr bwMode="auto">
                    <a:xfrm>
                      <a:off x="0" y="0"/>
                      <a:ext cx="186880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Gregory S. Bielli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17145</wp:posOffset>
            </wp:positionV>
            <wp:extent cx="357505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20">
                      <a:extLst>
                        <a:ext uri="{28A0092B-C50C-407E-A947-70E740481C1C}"/>
                      </a:extLst>
                    </a:blip>
                    <a:srcRect/>
                    <a:stretch>
                      <a:fillRect/>
                    </a:stretch>
                  </pic:blipFill>
                  <pic:spPr bwMode="auto">
                    <a:xfrm>
                      <a:off x="0" y="0"/>
                      <a:ext cx="357505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Gregory S. Bielli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88"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Brett A.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17145</wp:posOffset>
            </wp:positionV>
            <wp:extent cx="357505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21">
                      <a:extLst>
                        <a:ext uri="{28A0092B-C50C-407E-A947-70E740481C1C}"/>
                      </a:extLst>
                    </a:blip>
                    <a:srcRect/>
                    <a:stretch>
                      <a:fillRect/>
                    </a:stretch>
                  </pic:blipFill>
                  <pic:spPr bwMode="auto">
                    <a:xfrm>
                      <a:off x="0" y="0"/>
                      <a:ext cx="357505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Brett A. Brown</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Executive Vice President and Chief Financial Officer</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88"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Robert D. Velasquez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17145</wp:posOffset>
            </wp:positionV>
            <wp:extent cx="357505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22">
                      <a:extLst>
                        <a:ext uri="{28A0092B-C50C-407E-A947-70E740481C1C}"/>
                      </a:extLst>
                    </a:blip>
                    <a:srcRect/>
                    <a:stretch>
                      <a:fillRect/>
                    </a:stretch>
                  </pic:blipFill>
                  <pic:spPr bwMode="auto">
                    <a:xfrm>
                      <a:off x="0" y="0"/>
                      <a:ext cx="357505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D. Velasquez</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and Chief Accounting Officer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0" w:lineRule="exact"/>
        <w:rPr>
          <w:sz w:val="20"/>
          <w:szCs w:val="20"/>
          <w:color w:val="auto"/>
        </w:rPr>
      </w:pPr>
    </w:p>
    <w:p>
      <w:pPr>
        <w:sectPr>
          <w:pgSz w:w="11900" w:h="16838" w:orient="portrait"/>
          <w:cols w:equalWidth="0" w:num="2">
            <w:col w:w="4880" w:space="720"/>
            <w:col w:w="5600"/>
          </w:cols>
          <w:pgMar w:left="320" w:top="887" w:right="379" w:bottom="1440" w:gutter="0" w:footer="0" w:header="0"/>
          <w:type w:val="continuous"/>
        </w:sectPr>
      </w:pPr>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200"/>
          </w:cols>
          <w:pgMar w:left="320" w:top="887" w:right="379" w:bottom="1440" w:gutter="0" w:footer="0" w:header="0"/>
          <w:type w:val="continuous"/>
        </w:sectPr>
      </w:pPr>
    </w:p>
    <w:bookmarkStart w:id="50" w:name="page51"/>
    <w:bookmarkEnd w:id="5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Pursuant to</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Exchange Act Rules 13a-14(a) and 15d-14(a)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Gregory S. Bielli, certify that:</w:t>
      </w:r>
    </w:p>
    <w:p>
      <w:pPr>
        <w:spacing w:after="0" w:line="171" w:lineRule="exact"/>
        <w:rPr>
          <w:sz w:val="20"/>
          <w:szCs w:val="20"/>
          <w:color w:val="auto"/>
        </w:rPr>
      </w:pPr>
    </w:p>
    <w:p>
      <w:pPr>
        <w:ind w:left="340" w:hanging="332"/>
        <w:spacing w:after="0"/>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Tejon Ranch Co.;</w:t>
      </w:r>
    </w:p>
    <w:p>
      <w:pPr>
        <w:spacing w:after="0" w:line="171" w:lineRule="exact"/>
        <w:rPr>
          <w:rFonts w:ascii="Times New Roman" w:cs="Times New Roman" w:eastAsia="Times New Roman" w:hAnsi="Times New Roman"/>
          <w:sz w:val="18"/>
          <w:szCs w:val="18"/>
          <w:color w:val="auto"/>
        </w:rPr>
      </w:pPr>
    </w:p>
    <w:p>
      <w:pPr>
        <w:jc w:val="both"/>
        <w:ind w:left="340" w:right="420" w:hanging="332"/>
        <w:spacing w:after="0" w:line="266" w:lineRule="auto"/>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340" w:right="380" w:hanging="332"/>
        <w:spacing w:after="0" w:line="282" w:lineRule="auto"/>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340" w:right="620" w:hanging="332"/>
        <w:spacing w:after="0" w:line="266" w:lineRule="auto"/>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660" w:right="360" w:hanging="328"/>
        <w:spacing w:after="0" w:line="266" w:lineRule="auto"/>
        <w:tabs>
          <w:tab w:leader="none" w:pos="65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660" w:right="840" w:hanging="328"/>
        <w:spacing w:after="0" w:line="312" w:lineRule="auto"/>
        <w:tabs>
          <w:tab w:leader="none" w:pos="650"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660" w:right="60" w:hanging="328"/>
        <w:spacing w:after="0" w:line="266" w:lineRule="auto"/>
        <w:tabs>
          <w:tab w:leader="none" w:pos="6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340" w:right="300" w:hanging="332"/>
        <w:spacing w:after="0" w:line="282" w:lineRule="auto"/>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Dated:   May 7, 2024</w:t>
            </w:r>
          </w:p>
        </w:tc>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Gregory S. Bielli</w:t>
            </w:r>
          </w:p>
        </w:tc>
      </w:tr>
      <w:tr>
        <w:trPr>
          <w:trHeight w:val="218"/>
        </w:trPr>
        <w:tc>
          <w:tcPr>
            <w:tcW w:w="5920" w:type="dxa"/>
            <w:vAlign w:val="bottom"/>
          </w:tcPr>
          <w:p>
            <w:pPr>
              <w:spacing w:after="0"/>
              <w:rPr>
                <w:sz w:val="18"/>
                <w:szCs w:val="18"/>
                <w:color w:val="auto"/>
              </w:rPr>
            </w:pPr>
          </w:p>
        </w:tc>
        <w:tc>
          <w:tcPr>
            <w:tcW w:w="52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Gregory S. Bielli</w:t>
            </w:r>
          </w:p>
        </w:tc>
      </w:tr>
      <w:tr>
        <w:trPr>
          <w:trHeight w:val="234"/>
        </w:trPr>
        <w:tc>
          <w:tcPr>
            <w:tcW w:w="5920" w:type="dxa"/>
            <w:vAlign w:val="bottom"/>
          </w:tcPr>
          <w:p>
            <w:pPr>
              <w:spacing w:after="0"/>
              <w:rPr>
                <w:sz w:val="20"/>
                <w:szCs w:val="20"/>
                <w:color w:val="auto"/>
              </w:rPr>
            </w:pPr>
          </w:p>
        </w:tc>
        <w:tc>
          <w:tcPr>
            <w:tcW w:w="52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220"/>
          </w:cols>
          <w:pgMar w:left="320" w:top="887" w:right="359" w:bottom="1440" w:gutter="0" w:footer="0" w:header="0"/>
        </w:sectPr>
      </w:pPr>
    </w:p>
    <w:bookmarkStart w:id="51" w:name="page52"/>
    <w:bookmarkEnd w:id="5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Pursuant to</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Exchange Act Rules 13a-14(a) and 15d-14(a)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Brett A. Brown, certify that:</w:t>
      </w:r>
    </w:p>
    <w:p>
      <w:pPr>
        <w:spacing w:after="0" w:line="171" w:lineRule="exact"/>
        <w:rPr>
          <w:sz w:val="20"/>
          <w:szCs w:val="20"/>
          <w:color w:val="auto"/>
        </w:rPr>
      </w:pPr>
    </w:p>
    <w:p>
      <w:pPr>
        <w:ind w:left="340" w:hanging="332"/>
        <w:spacing w:after="0"/>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Tejon Ranch Co.;</w:t>
      </w:r>
    </w:p>
    <w:p>
      <w:pPr>
        <w:spacing w:after="0" w:line="171" w:lineRule="exact"/>
        <w:rPr>
          <w:rFonts w:ascii="Times New Roman" w:cs="Times New Roman" w:eastAsia="Times New Roman" w:hAnsi="Times New Roman"/>
          <w:sz w:val="18"/>
          <w:szCs w:val="18"/>
          <w:color w:val="auto"/>
        </w:rPr>
      </w:pPr>
    </w:p>
    <w:p>
      <w:pPr>
        <w:jc w:val="both"/>
        <w:ind w:left="340" w:right="420" w:hanging="332"/>
        <w:spacing w:after="0" w:line="266" w:lineRule="auto"/>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340" w:right="380" w:hanging="332"/>
        <w:spacing w:after="0" w:line="282" w:lineRule="auto"/>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340" w:right="420" w:hanging="332"/>
        <w:spacing w:after="0" w:line="266" w:lineRule="auto"/>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660" w:right="360" w:hanging="328"/>
        <w:spacing w:after="0" w:line="266" w:lineRule="auto"/>
        <w:tabs>
          <w:tab w:leader="none" w:pos="65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660" w:right="840" w:hanging="328"/>
        <w:spacing w:after="0" w:line="312" w:lineRule="auto"/>
        <w:tabs>
          <w:tab w:leader="none" w:pos="650"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660" w:right="60" w:hanging="328"/>
        <w:spacing w:after="0" w:line="266" w:lineRule="auto"/>
        <w:tabs>
          <w:tab w:leader="none" w:pos="6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340" w:right="120" w:hanging="332"/>
        <w:spacing w:after="0" w:line="282" w:lineRule="auto"/>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Dated:   May 7, 2024</w:t>
            </w:r>
          </w:p>
        </w:tc>
        <w:tc>
          <w:tcPr>
            <w:tcW w:w="6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Brett A. Brown</w:t>
            </w:r>
          </w:p>
        </w:tc>
      </w:tr>
      <w:tr>
        <w:trPr>
          <w:trHeight w:val="218"/>
        </w:trPr>
        <w:tc>
          <w:tcPr>
            <w:tcW w:w="4240" w:type="dxa"/>
            <w:vAlign w:val="bottom"/>
          </w:tcPr>
          <w:p>
            <w:pPr>
              <w:spacing w:after="0"/>
              <w:rPr>
                <w:sz w:val="18"/>
                <w:szCs w:val="18"/>
                <w:color w:val="auto"/>
              </w:rPr>
            </w:pPr>
          </w:p>
        </w:tc>
        <w:tc>
          <w:tcPr>
            <w:tcW w:w="69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Brett A. Brown</w:t>
            </w:r>
          </w:p>
        </w:tc>
      </w:tr>
      <w:tr>
        <w:trPr>
          <w:trHeight w:val="234"/>
        </w:trPr>
        <w:tc>
          <w:tcPr>
            <w:tcW w:w="4240" w:type="dxa"/>
            <w:vAlign w:val="bottom"/>
          </w:tcPr>
          <w:p>
            <w:pPr>
              <w:spacing w:after="0"/>
              <w:rPr>
                <w:sz w:val="20"/>
                <w:szCs w:val="20"/>
                <w:color w:val="auto"/>
              </w:rPr>
            </w:pPr>
          </w:p>
        </w:tc>
        <w:tc>
          <w:tcPr>
            <w:tcW w:w="69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bl>
    <w:p>
      <w:pPr>
        <w:sectPr>
          <w:pgSz w:w="11900" w:h="16838" w:orient="portrait"/>
          <w:cols w:equalWidth="0" w:num="1">
            <w:col w:w="11220"/>
          </w:cols>
          <w:pgMar w:left="320" w:top="887" w:right="359" w:bottom="1440" w:gutter="0" w:footer="0" w:header="0"/>
        </w:sectPr>
      </w:pPr>
    </w:p>
    <w:bookmarkStart w:id="52" w:name="page53"/>
    <w:bookmarkEnd w:id="52"/>
    <w:p>
      <w:pPr>
        <w:ind w:left="5120"/>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171"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Each of the undersigned hereby certifies, in his capacity as an officer of Tejon Ranch Co. (the “Company”), for purposes of 18 U.S.C. Section 1350, as adopted pursuant to Section 906 of the Sarbanes-Oxley Act of 2002, that to his own knowledge:</w:t>
      </w:r>
    </w:p>
    <w:p>
      <w:pPr>
        <w:spacing w:after="0" w:line="189" w:lineRule="exact"/>
        <w:rPr>
          <w:sz w:val="20"/>
          <w:szCs w:val="20"/>
          <w:color w:val="auto"/>
        </w:rPr>
      </w:pPr>
    </w:p>
    <w:p>
      <w:pPr>
        <w:ind w:left="660" w:right="20" w:hanging="328"/>
        <w:spacing w:after="0" w:line="261"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of the Company on Form 10-Q for the period ended March 31, 2024 fully complies with the requirements of Section 13(a) of the Securities Exchange Act of 1934; and</w:t>
      </w:r>
    </w:p>
    <w:p>
      <w:pPr>
        <w:ind w:left="660" w:hanging="328"/>
        <w:spacing w:after="0"/>
        <w:tabs>
          <w:tab w:leader="none" w:pos="66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such report fairly presents, in all material respects, the financial condition and results of operation of the Company.</w:t>
      </w:r>
    </w:p>
    <w:p>
      <w:pPr>
        <w:spacing w:after="0" w:line="164"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Tejon Ranch Co. and will be retained by Tejon Ranch Co., and furnished to the Securities and Exchange Commission or its staff upon request.</w:t>
      </w:r>
    </w:p>
    <w:p>
      <w:pPr>
        <w:spacing w:after="0" w:line="27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2340" w:type="dxa"/>
            <w:vAlign w:val="bottom"/>
          </w:tcPr>
          <w:p>
            <w:pPr>
              <w:ind w:left="1440"/>
              <w:spacing w:after="0"/>
              <w:rPr>
                <w:sz w:val="20"/>
                <w:szCs w:val="20"/>
                <w:color w:val="auto"/>
              </w:rPr>
            </w:pPr>
            <w:r>
              <w:rPr>
                <w:rFonts w:ascii="Times New Roman" w:cs="Times New Roman" w:eastAsia="Times New Roman" w:hAnsi="Times New Roman"/>
                <w:sz w:val="18"/>
                <w:szCs w:val="18"/>
                <w:color w:val="auto"/>
                <w:w w:val="96"/>
              </w:rPr>
              <w:t>May 7, 2024</w:t>
            </w:r>
          </w:p>
        </w:tc>
      </w:tr>
    </w:tbl>
    <w:p>
      <w:pPr>
        <w:spacing w:after="0" w:line="2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Gregory S. Bielli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426910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23">
                      <a:extLst>
                        <a:ext uri="{28A0092B-C50C-407E-A947-70E740481C1C}"/>
                      </a:extLst>
                    </a:blip>
                    <a:srcRect/>
                    <a:stretch>
                      <a:fillRect/>
                    </a:stretch>
                  </pic:blipFill>
                  <pic:spPr bwMode="auto">
                    <a:xfrm>
                      <a:off x="0" y="0"/>
                      <a:ext cx="426910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Gregory S. Bielli</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Brett A.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426910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24">
                      <a:extLst>
                        <a:ext uri="{28A0092B-C50C-407E-A947-70E740481C1C}"/>
                      </a:extLst>
                    </a:blip>
                    <a:srcRect/>
                    <a:stretch>
                      <a:fillRect/>
                    </a:stretch>
                  </pic:blipFill>
                  <pic:spPr bwMode="auto">
                    <a:xfrm>
                      <a:off x="0" y="0"/>
                      <a:ext cx="426910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Brett A. Brown</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Robert D. Velasquez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426910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25">
                      <a:extLst>
                        <a:ext uri="{28A0092B-C50C-407E-A947-70E740481C1C}"/>
                      </a:extLst>
                    </a:blip>
                    <a:srcRect/>
                    <a:stretch>
                      <a:fillRect/>
                    </a:stretch>
                  </pic:blipFill>
                  <pic:spPr bwMode="auto">
                    <a:xfrm>
                      <a:off x="0" y="0"/>
                      <a:ext cx="426910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Robert D. Velasquez</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Senior Vice President and Chief Accounting Officer</w:t>
      </w:r>
    </w:p>
    <w:sectPr>
      <w:pgSz w:w="11900" w:h="16838" w:orient="portrait"/>
      <w:cols w:equalWidth="0" w:num="1">
        <w:col w:w="11080"/>
      </w:cols>
      <w:pgMar w:left="320" w:top="887"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1."/>
      <w:numFmt w:val="decimal"/>
      <w:start w:val="1"/>
    </w:lvl>
  </w:abstractNum>
  <w:abstractNum w:abstractNumId="3">
    <w:nsid w:val="519B500D"/>
    <w:multiLevelType w:val="hybridMultilevel"/>
    <w:lvl w:ilvl="0">
      <w:lvlJc w:val="left"/>
      <w:lvlText w:val="%1."/>
      <w:numFmt w:val="decimal"/>
      <w:start w:val="3"/>
    </w:lvl>
  </w:abstractNum>
  <w:abstractNum w:abstractNumId="4">
    <w:nsid w:val="431BD7B7"/>
    <w:multiLevelType w:val="hybridMultilevel"/>
    <w:lvl w:ilvl="0">
      <w:lvlJc w:val="left"/>
      <w:lvlText w:val="%1."/>
      <w:numFmt w:val="decimal"/>
      <w:start w:val="4"/>
    </w:lvl>
  </w:abstractNum>
  <w:abstractNum w:abstractNumId="5">
    <w:nsid w:val="3F2DBA31"/>
    <w:multiLevelType w:val="hybridMultilevel"/>
    <w:lvl w:ilvl="0">
      <w:lvlJc w:val="left"/>
      <w:lvlText w:val="%1."/>
      <w:numFmt w:val="decimal"/>
      <w:start w:val="5"/>
    </w:lvl>
  </w:abstractNum>
  <w:abstractNum w:abstractNumId="6">
    <w:nsid w:val="7C83E458"/>
    <w:multiLevelType w:val="hybridMultilevel"/>
    <w:lvl w:ilvl="0">
      <w:lvlJc w:val="left"/>
      <w:lvlText w:val="1"/>
      <w:numFmt w:val="bullet"/>
      <w:start w:val="1"/>
    </w:lvl>
  </w:abstractNum>
  <w:abstractNum w:abstractNumId="7">
    <w:nsid w:val="257130A3"/>
    <w:multiLevelType w:val="hybridMultilevel"/>
    <w:lvl w:ilvl="0">
      <w:lvlJc w:val="left"/>
      <w:lvlText w:val="%1."/>
      <w:numFmt w:val="decimal"/>
      <w:start w:val="7"/>
    </w:lvl>
  </w:abstractNum>
  <w:abstractNum w:abstractNumId="8">
    <w:nsid w:val="62BBD95A"/>
    <w:multiLevelType w:val="hybridMultilevel"/>
    <w:lvl w:ilvl="0">
      <w:lvlJc w:val="left"/>
      <w:lvlText w:val="%1."/>
      <w:numFmt w:val="decimal"/>
      <w:start w:val="8"/>
    </w:lvl>
  </w:abstractNum>
  <w:abstractNum w:abstractNumId="9">
    <w:nsid w:val="436C6125"/>
    <w:multiLevelType w:val="hybridMultilevel"/>
    <w:lvl w:ilvl="0">
      <w:lvlJc w:val="left"/>
      <w:lvlText w:val="%1."/>
      <w:numFmt w:val="decimal"/>
      <w:start w:val="9"/>
    </w:lvl>
  </w:abstractNum>
  <w:abstractNum w:abstractNumId="10">
    <w:nsid w:val="628C895D"/>
    <w:multiLevelType w:val="hybridMultilevel"/>
    <w:lvl w:ilvl="0">
      <w:lvlJc w:val="left"/>
      <w:lvlText w:val="%1."/>
      <w:numFmt w:val="decimal"/>
      <w:start w:val="10"/>
    </w:lvl>
  </w:abstractNum>
  <w:abstractNum w:abstractNumId="11">
    <w:nsid w:val="333AB105"/>
    <w:multiLevelType w:val="hybridMultilevel"/>
    <w:lvl w:ilvl="0">
      <w:lvlJc w:val="left"/>
      <w:lvlText w:val="%1."/>
      <w:numFmt w:val="decimal"/>
      <w:start w:val="11"/>
    </w:lvl>
  </w:abstractNum>
  <w:abstractNum w:abstractNumId="12">
    <w:nsid w:val="721DA317"/>
    <w:multiLevelType w:val="hybridMultilevel"/>
    <w:lvl w:ilvl="0">
      <w:lvlJc w:val="left"/>
      <w:lvlText w:val="•"/>
      <w:numFmt w:val="bullet"/>
      <w:start w:val="1"/>
    </w:lvl>
    <w:lvl w:ilvl="1">
      <w:lvlJc w:val="left"/>
      <w:lvlText w:val="•"/>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1)"/>
      <w:numFmt w:val="decimal"/>
      <w:start w:val="1"/>
    </w:lvl>
  </w:abstractNum>
  <w:abstractNum w:abstractNumId="16">
    <w:nsid w:val="75A2A8D4"/>
    <w:multiLevelType w:val="hybridMultilevel"/>
    <w:lvl w:ilvl="0">
      <w:lvlJc w:val="left"/>
      <w:lvlText w:val="%1."/>
      <w:numFmt w:val="decimal"/>
      <w:start w:val="14"/>
    </w:lvl>
    <w:lvl w:ilvl="1">
      <w:lvlJc w:val="left"/>
      <w:lvlText w:val="***"/>
      <w:numFmt w:val="bullet"/>
      <w:start w:val="1"/>
    </w:lvl>
  </w:abstractNum>
  <w:abstractNum w:abstractNumId="17">
    <w:nsid w:val="8EDBDAB"/>
    <w:multiLevelType w:val="hybridMultilevel"/>
    <w:lvl w:ilvl="0">
      <w:lvlJc w:val="left"/>
      <w:lvlText w:val="•"/>
      <w:numFmt w:val="bullet"/>
      <w:start w:val="1"/>
    </w:lvl>
    <w:lvl w:ilvl="1">
      <w:lvlJc w:val="left"/>
      <w:lvlText w:val="◦"/>
      <w:numFmt w:val="bullet"/>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1)"/>
      <w:numFmt w:val="decimal"/>
      <w:start w:val="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
      <w:numFmt w:val="bullet"/>
      <w:start w:val="1"/>
    </w:lvl>
  </w:abstractNum>
  <w:abstractNum w:abstractNumId="23">
    <w:nsid w:val="71F32454"/>
    <w:multiLevelType w:val="hybridMultilevel"/>
    <w:lvl w:ilvl="0">
      <w:lvlJc w:val="left"/>
      <w:lvlText w:val="•"/>
      <w:numFmt w:val="bullet"/>
      <w:start w:val="1"/>
    </w:lvl>
    <w:lvl w:ilvl="1">
      <w:lvlJc w:val="left"/>
      <w:lvlText w:val="1"/>
      <w:numFmt w:val="bullet"/>
      <w:start w:val="1"/>
    </w:lvl>
  </w:abstractNum>
  <w:abstractNum w:abstractNumId="24">
    <w:nsid w:val="2CA88611"/>
    <w:multiLevelType w:val="hybridMultilevel"/>
    <w:lvl w:ilvl="0">
      <w:lvlJc w:val="left"/>
      <w:lvlText w:val="•"/>
      <w:numFmt w:val="bullet"/>
      <w:start w:val="1"/>
    </w:lvl>
  </w:abstractNum>
  <w:abstractNum w:abstractNumId="25">
    <w:nsid w:val="836C40E"/>
    <w:multiLevelType w:val="hybridMultilevel"/>
    <w:lvl w:ilvl="0">
      <w:lvlJc w:val="left"/>
      <w:lvlText w:val="(%1)"/>
      <w:numFmt w:val="lowerLetter"/>
      <w:start w:val="1"/>
    </w:lvl>
  </w:abstractNum>
  <w:abstractNum w:abstractNumId="26">
    <w:nsid w:val="2901D82"/>
    <w:multiLevelType w:val="hybridMultilevel"/>
    <w:lvl w:ilvl="0">
      <w:lvlJc w:val="left"/>
      <w:lvlText w:val="(%1)"/>
      <w:numFmt w:val="lowerLetter"/>
      <w:start w:val="2"/>
    </w:lvl>
  </w:abstractNum>
  <w:abstractNum w:abstractNumId="27">
    <w:nsid w:val="3A95F874"/>
    <w:multiLevelType w:val="hybridMultilevel"/>
    <w:lvl w:ilvl="0">
      <w:lvlJc w:val="left"/>
      <w:lvlText w:val="%1"/>
      <w:numFmt w:val="decimal"/>
      <w:start w:val="104"/>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lvl w:ilvl="1">
      <w:lvlJc w:val="left"/>
      <w:lvlText w:val="%2."/>
      <w:numFmt w:val="lowerLetter"/>
      <w:start w:val="1"/>
    </w:lvl>
  </w:abstractNum>
  <w:abstractNum w:abstractNumId="30">
    <w:nsid w:val="7C3DBD3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82" Type="http://schemas.openxmlformats.org/officeDocument/2006/relationships/image" Target="media/image55.png"/><Relationship Id="rId83" Type="http://schemas.openxmlformats.org/officeDocument/2006/relationships/image" Target="media/image56.png"/><Relationship Id="rId109" Type="http://schemas.openxmlformats.org/officeDocument/2006/relationships/image" Target="media/image57.png"/><Relationship Id="rId110" Type="http://schemas.openxmlformats.org/officeDocument/2006/relationships/image" Target="media/image58.png"/><Relationship Id="rId111" Type="http://schemas.openxmlformats.org/officeDocument/2006/relationships/image" Target="media/image59.png"/><Relationship Id="rId112" Type="http://schemas.openxmlformats.org/officeDocument/2006/relationships/image" Target="media/image60.png"/><Relationship Id="rId113" Type="http://schemas.openxmlformats.org/officeDocument/2006/relationships/image" Target="media/image61.png"/><Relationship Id="rId114" Type="http://schemas.openxmlformats.org/officeDocument/2006/relationships/image" Target="media/image62.png"/><Relationship Id="rId115" Type="http://schemas.openxmlformats.org/officeDocument/2006/relationships/image" Target="media/image63.png"/><Relationship Id="rId116" Type="http://schemas.openxmlformats.org/officeDocument/2006/relationships/image" Target="media/image64.png"/><Relationship Id="rId117" Type="http://schemas.openxmlformats.org/officeDocument/2006/relationships/image" Target="media/image65.png"/><Relationship Id="rId118" Type="http://schemas.openxmlformats.org/officeDocument/2006/relationships/image" Target="media/image66.png"/><Relationship Id="rId119" Type="http://schemas.openxmlformats.org/officeDocument/2006/relationships/image" Target="media/image67.png"/><Relationship Id="rId120" Type="http://schemas.openxmlformats.org/officeDocument/2006/relationships/image" Target="media/image68.png"/><Relationship Id="rId121" Type="http://schemas.openxmlformats.org/officeDocument/2006/relationships/image" Target="media/image69.png"/><Relationship Id="rId122" Type="http://schemas.openxmlformats.org/officeDocument/2006/relationships/image" Target="media/image70.png"/><Relationship Id="rId123" Type="http://schemas.openxmlformats.org/officeDocument/2006/relationships/image" Target="media/image71.png"/><Relationship Id="rId124" Type="http://schemas.openxmlformats.org/officeDocument/2006/relationships/image" Target="media/image72.png"/><Relationship Id="rId125" Type="http://schemas.openxmlformats.org/officeDocument/2006/relationships/image" Target="media/image73.png"/><Relationship Id="rId62" Type="http://schemas.openxmlformats.org/officeDocument/2006/relationships/hyperlink" Target="https://www.sec.gov/Archives/edgar/data/96869/000009686921000016/ex31restatedcertificateo.htm" TargetMode="External"/><Relationship Id="rId63" Type="http://schemas.openxmlformats.org/officeDocument/2006/relationships/hyperlink" Target="https://www.sec.gov/Archives/edgar/data/96869/000119312523079260/d487105dex31.htm" TargetMode="External"/><Relationship Id="rId64" Type="http://schemas.openxmlformats.org/officeDocument/2006/relationships/hyperlink" Target="https://www.sec.gov/Archives/edgar/data/96869/000119312505245123/dex41.htm" TargetMode="External"/><Relationship Id="rId65" Type="http://schemas.openxmlformats.org/officeDocument/2006/relationships/hyperlink" Target="https://www.sec.gov/Archives/edgar/data/96869/000119312519119877/d718363dex46.htm" TargetMode="External"/><Relationship Id="rId66" Type="http://schemas.openxmlformats.org/officeDocument/2006/relationships/hyperlink" Target="https://www.sec.gov/Archives/edgar/data/96869/0000096869-98-000002.txt" TargetMode="External"/><Relationship Id="rId67" Type="http://schemas.openxmlformats.org/officeDocument/2006/relationships/hyperlink" Target="https://www.sec.gov/Archives/edgar/data/96869/000119312509042772/dex109.htm" TargetMode="External"/><Relationship Id="rId68" Type="http://schemas.openxmlformats.org/officeDocument/2006/relationships/hyperlink" Target="https://www.sec.gov/Archives/edgar/data/96869/000119312509042772/dex1010.htm" TargetMode="External"/><Relationship Id="rId69" Type="http://schemas.openxmlformats.org/officeDocument/2006/relationships/hyperlink" Target="https://www.sec.gov/Archives/edgar/data/96869/000102140802004535/dex1016.txt" TargetMode="External"/><Relationship Id="rId70" Type="http://schemas.openxmlformats.org/officeDocument/2006/relationships/hyperlink" Target="https://www.sec.gov/Archives/edgar/data/96869/000119312504082310/dex41.htm" TargetMode="External"/><Relationship Id="rId71" Type="http://schemas.openxmlformats.org/officeDocument/2006/relationships/hyperlink" Target="https://www.sec.gov/Archives/edgar/data/96869/000119312504082310/dex42.htm" TargetMode="External"/><Relationship Id="rId72" Type="http://schemas.openxmlformats.org/officeDocument/2006/relationships/hyperlink" Target="https://www.sec.gov/Archives/edgar/data/96869/000119312505051499/dex1021.htm" TargetMode="External"/><Relationship Id="rId73" Type="http://schemas.openxmlformats.org/officeDocument/2006/relationships/hyperlink" Target="https://www.sec.gov/Archives/edgar/data/96869/000119312505051499/dex1023.htm" TargetMode="External"/><Relationship Id="rId74" Type="http://schemas.openxmlformats.org/officeDocument/2006/relationships/hyperlink" Target="https://www.sec.gov/Archives/edgar/data/96869/000119312505051499/dex1022.htm" TargetMode="External"/><Relationship Id="rId75" Type="http://schemas.openxmlformats.org/officeDocument/2006/relationships/hyperlink" Target="https://www.sec.gov/Archives/edgar/data/96869/000119312506118520/dex1024.htm" TargetMode="External"/><Relationship Id="rId76" Type="http://schemas.openxmlformats.org/officeDocument/2006/relationships/hyperlink" Target="https://www.sec.gov/Archives/edgar/data/96869/000119312508138009/dex1028.htm" TargetMode="External"/><Relationship Id="rId77" Type="http://schemas.openxmlformats.org/officeDocument/2006/relationships/hyperlink" Target="https://www.sec.gov/Archives/edgar/data/96869/000119312509170594/dex1025.htm" TargetMode="External"/><Relationship Id="rId78" Type="http://schemas.openxmlformats.org/officeDocument/2006/relationships/hyperlink" Target="https://www.sec.gov/Archives/edgar/data/96869/000144530513001209/exhibit1026-execagreementa.htm" TargetMode="External"/><Relationship Id="rId79" Type="http://schemas.openxmlformats.org/officeDocument/2006/relationships/hyperlink" Target="https://www.sec.gov/Archives/edgar/data/96869/000119312513246605/d549609dex1027.htm" TargetMode="External"/><Relationship Id="rId80" Type="http://schemas.openxmlformats.org/officeDocument/2006/relationships/hyperlink" Target="https://www.sec.gov/Archives/edgar/data/96869/000119312513326495/d581835dex101.htm" TargetMode="External"/><Relationship Id="rId81" Type="http://schemas.openxmlformats.org/officeDocument/2006/relationships/hyperlink" Target="https://www.sec.gov/Archives/edgar/data/96869/000009686914000009/exhibit1029tmvamendments20.htm" TargetMode="External"/><Relationship Id="rId84" Type="http://schemas.openxmlformats.org/officeDocument/2006/relationships/hyperlink" Target="https://www.sec.gov/Archives/edgar/data/96869/000119312514270067/d758856dex1030.htm" TargetMode="External"/><Relationship Id="rId85" Type="http://schemas.openxmlformats.org/officeDocument/2006/relationships/hyperlink" Target="https://www.sec.gov/Archives/edgar/data/96869/000119312514375013/d806135dex1031.htm" TargetMode="External"/><Relationship Id="rId86" Type="http://schemas.openxmlformats.org/officeDocument/2006/relationships/hyperlink" Target="https://www.sec.gov/Archives/edgar/data/96869/000119312514375013/d806135dex1032.htm" TargetMode="External"/><Relationship Id="rId87" Type="http://schemas.openxmlformats.org/officeDocument/2006/relationships/hyperlink" Target="https://www.sec.gov/Archives/edgar/data/96869/000119312514375013/d806135dex1033.htm" TargetMode="External"/><Relationship Id="rId88" Type="http://schemas.openxmlformats.org/officeDocument/2006/relationships/hyperlink" Target="https://www.sec.gov/Archives/edgar/data/96869/000009686915000003/exhibit1034calpineagreemen.htm" TargetMode="External"/><Relationship Id="rId89" Type="http://schemas.openxmlformats.org/officeDocument/2006/relationships/hyperlink" Target="https://www.sec.gov/Archives/edgar/data/96869/000009686915000010/ex1035q32015.htm" TargetMode="External"/><Relationship Id="rId90" Type="http://schemas.openxmlformats.org/officeDocument/2006/relationships/hyperlink" Target="https://www.sec.gov/Archives/edgar/data/96869/000009686916000017/ex1037limitedliabilityagre.htm" TargetMode="External"/><Relationship Id="rId91" Type="http://schemas.openxmlformats.org/officeDocument/2006/relationships/hyperlink" Target="https://www.sec.gov/Archives/edgar/data/96869/000009686916000019/ex1038llagreementoftrc-mrc1.htm" TargetMode="External"/><Relationship Id="rId92" Type="http://schemas.openxmlformats.org/officeDocument/2006/relationships/hyperlink" Target="https://www.sec.gov/Archives/edgar/data/96869/000009686917000002/exhibit1039centennialredem.htm" TargetMode="External"/><Relationship Id="rId93" Type="http://schemas.openxmlformats.org/officeDocument/2006/relationships/hyperlink" Target="https://www.sec.gov/Archives/edgar/data/96869/000009686917000002/exhibit1040firstamendmentt.htm" TargetMode="External"/><Relationship Id="rId94" Type="http://schemas.openxmlformats.org/officeDocument/2006/relationships/hyperlink" Target="https://www.sec.gov/Archives/edgar/data/96869/000009686917000002/exhibit1041secondamendment.htm" TargetMode="External"/><Relationship Id="rId95" Type="http://schemas.openxmlformats.org/officeDocument/2006/relationships/hyperlink" Target="https://www.sec.gov/Archives/edgar/data/96869/000009686918000015/ex1042trcmrc3llc.htm" TargetMode="External"/><Relationship Id="rId96" Type="http://schemas.openxmlformats.org/officeDocument/2006/relationships/hyperlink" Target="https://www.sec.gov/Archives/edgar/data/96869/000009686919000004/exhibit1043201810k.htm" TargetMode="External"/><Relationship Id="rId97" Type="http://schemas.openxmlformats.org/officeDocument/2006/relationships/hyperlink" Target="https://www.sec.gov/Archives/edgar/data/96869/000009686919000004/exhibit1044201810k.htm" TargetMode="External"/><Relationship Id="rId98" Type="http://schemas.openxmlformats.org/officeDocument/2006/relationships/hyperlink" Target="https://www.sec.gov/Archives/edgar/data/96869/000009686919000014/ex1046aloc.htm" TargetMode="External"/><Relationship Id="rId99" Type="http://schemas.openxmlformats.org/officeDocument/2006/relationships/hyperlink" Target="https://www.sec.gov/Archives/edgar/data/96869/000009686919000014/ex1045atn.htm" TargetMode="External"/><Relationship Id="rId100" Type="http://schemas.openxmlformats.org/officeDocument/2006/relationships/hyperlink" Target="https://www.sec.gov/Archives/edgar/data/96869/000009686920000007/exhibit1047-gregbseverance.htm" TargetMode="External"/><Relationship Id="rId101" Type="http://schemas.openxmlformats.org/officeDocument/2006/relationships/hyperlink" Target="https://www.sec.gov/Archives/edgar/data/0000096869/000009686921000011/ex1048mrc4llc.htm" TargetMode="External"/><Relationship Id="rId102" Type="http://schemas.openxmlformats.org/officeDocument/2006/relationships/hyperlink" Target="https://www.sec.gov/Archives/edgar/data/96869/000009686922000005/exhibit1048centennialcrf.htm" TargetMode="External"/><Relationship Id="rId103" Type="http://schemas.openxmlformats.org/officeDocument/2006/relationships/hyperlink" Target="https://www.sec.gov/Archives/edgar/data/96869/000009686922000005/exhibit1050trc-mrcmultii.htm" TargetMode="External"/><Relationship Id="rId104" Type="http://schemas.openxmlformats.org/officeDocument/2006/relationships/hyperlink" Target="https://www.sec.gov/Archives/edgar/data/96869/000009686922000009/ex1051mrc5.htm" TargetMode="External"/><Relationship Id="rId105" Type="http://schemas.openxmlformats.org/officeDocument/2006/relationships/hyperlink" Target="https://www.sec.gov/Archives/edgar/data/96869/000009686922000012/ex1052creditagreementbof.htm" TargetMode="External"/><Relationship Id="rId106" Type="http://schemas.openxmlformats.org/officeDocument/2006/relationships/hyperlink" Target="https://www.sec.gov/Archives/edgar/data/96869/000009686923000014/ex1053mhsevag.htm" TargetMode="External"/><Relationship Id="rId107" Type="http://schemas.openxmlformats.org/officeDocument/2006/relationships/hyperlink" Target="https://www.sec.gov/Archives/edgar/data/96869/000119312523280777/d518195dex1001.htm" TargetMode="External"/><Relationship Id="rId108" Type="http://schemas.openxmlformats.org/officeDocument/2006/relationships/hyperlink" Target="https://www.sec.gov/Archives/edgar/data/96869/000119312524076651/d796643dex10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2024-05-07T12:01:30Z</dcterms:created>
  <dcterms:modified xsi:type="dcterms:W3CDTF">2024-05-07T12:01:30Z</dcterms:modified>
</cp:coreProperties>
</file>