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(Mark One)</w:t>
      </w:r>
    </w:p>
    <w:p>
      <w:pPr>
        <w:spacing w:after="0" w:line="199" w:lineRule="exact"/>
        <w:rPr>
          <w:sz w:val="24"/>
          <w:szCs w:val="24"/>
          <w:color w:val="auto"/>
        </w:rPr>
      </w:pPr>
    </w:p>
    <w:p>
      <w:pPr>
        <w:jc w:val="center"/>
        <w:ind w:left="4420" w:right="2280" w:hanging="2088"/>
        <w:spacing w:after="0" w:line="267" w:lineRule="auto"/>
        <w:tabs>
          <w:tab w:leader="none" w:pos="2491"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 For the quarterly period ended June 30, 2025</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1" w:lineRule="exact"/>
        <w:rPr>
          <w:sz w:val="24"/>
          <w:szCs w:val="24"/>
          <w:color w:val="auto"/>
        </w:rPr>
      </w:pPr>
    </w:p>
    <w:p>
      <w:pPr>
        <w:ind w:left="2480" w:hanging="152"/>
        <w:spacing w:after="0"/>
        <w:tabs>
          <w:tab w:leader="none" w:pos="24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41" w:lineRule="exact"/>
        <w:rPr>
          <w:sz w:val="24"/>
          <w:szCs w:val="24"/>
          <w:color w:val="auto"/>
        </w:rPr>
      </w:pPr>
    </w:p>
    <w:p>
      <w:pPr>
        <w:ind w:left="4340"/>
        <w:spacing w:after="0"/>
        <w:tabs>
          <w:tab w:leader="none" w:pos="64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3338195</wp:posOffset>
            </wp:positionH>
            <wp:positionV relativeFrom="paragraph">
              <wp:posOffset>83185</wp:posOffset>
            </wp:positionV>
            <wp:extent cx="498475" cy="498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475" cy="498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TEJON RANCH CO.</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77-0196136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4436 Lebec Road, P.O. Box 1000, Lebec, California 93243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(661) 248-3000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3"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3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20" w:type="dxa"/>
            <w:vAlign w:val="bottom"/>
          </w:tcPr>
          <w:p>
            <w:pPr>
              <w:spacing w:after="0"/>
              <w:rPr>
                <w:sz w:val="16"/>
                <w:szCs w:val="16"/>
                <w:color w:val="auto"/>
              </w:rPr>
            </w:pPr>
          </w:p>
        </w:tc>
      </w:tr>
      <w:tr>
        <w:trPr>
          <w:trHeight w:val="276"/>
        </w:trPr>
        <w:tc>
          <w:tcPr>
            <w:tcW w:w="3420" w:type="dxa"/>
            <w:vAlign w:val="bottom"/>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20" w:type="dxa"/>
            <w:vAlign w:val="bottom"/>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3420" w:type="dxa"/>
            <w:vAlign w:val="bottom"/>
            <w:tcBorders>
              <w:top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Common Stock, $0.50 par value</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TRC</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281" w:lineRule="exact"/>
        <w:rPr>
          <w:sz w:val="24"/>
          <w:szCs w:val="24"/>
          <w:color w:val="auto"/>
        </w:rPr>
      </w:pPr>
    </w:p>
    <w:p>
      <w:pPr>
        <w:jc w:val="both"/>
        <w:ind w:left="20" w:right="60"/>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4" w:lineRule="exact"/>
        <w:rPr>
          <w:sz w:val="24"/>
          <w:szCs w:val="24"/>
          <w:color w:val="auto"/>
        </w:rPr>
      </w:pPr>
    </w:p>
    <w:p>
      <w:pPr>
        <w:ind w:left="20" w:right="120"/>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6" w:lineRule="exact"/>
        <w:rPr>
          <w:sz w:val="24"/>
          <w:szCs w:val="24"/>
          <w:color w:val="auto"/>
        </w:rPr>
      </w:pPr>
    </w:p>
    <w:p>
      <w:pPr>
        <w:ind w:left="2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00" w:top="781" w:right="359" w:bottom="1440" w:gutter="0" w:footer="0" w:header="0"/>
        </w:sectPr>
      </w:pPr>
    </w:p>
    <w:p>
      <w:pPr>
        <w:spacing w:after="0" w:line="82" w:lineRule="exact"/>
        <w:rPr>
          <w:sz w:val="24"/>
          <w:szCs w:val="24"/>
          <w:color w:val="auto"/>
        </w:rPr>
      </w:pPr>
    </w:p>
    <w:p>
      <w:pPr>
        <w:ind w:left="240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76" w:lineRule="exact"/>
        <w:rPr>
          <w:sz w:val="24"/>
          <w:szCs w:val="24"/>
          <w:color w:val="auto"/>
        </w:rPr>
      </w:pPr>
    </w:p>
    <w:p>
      <w:pPr>
        <w:sectPr>
          <w:pgSz w:w="11900" w:h="16838" w:orient="portrait"/>
          <w:cols w:equalWidth="0" w:num="2">
            <w:col w:w="4800" w:space="720"/>
            <w:col w:w="5720"/>
          </w:cols>
          <w:pgMar w:left="300" w:top="781" w:right="359" w:bottom="1440" w:gutter="0" w:footer="0" w:header="0"/>
          <w:type w:val="continuous"/>
        </w:sectPr>
      </w:pPr>
    </w:p>
    <w:p>
      <w:pPr>
        <w:ind w:left="2460"/>
        <w:spacing w:after="0" w:line="150"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80" w:lineRule="exact"/>
        <w:rPr>
          <w:sz w:val="24"/>
          <w:szCs w:val="24"/>
          <w:color w:val="auto"/>
        </w:rPr>
      </w:pPr>
    </w:p>
    <w:p>
      <w:pPr>
        <w:sectPr>
          <w:pgSz w:w="11900" w:h="16838" w:orient="portrait"/>
          <w:cols w:equalWidth="0" w:num="2">
            <w:col w:w="4260" w:space="720"/>
            <w:col w:w="6260"/>
          </w:cols>
          <w:pgMar w:left="300" w:top="781" w:right="359" w:bottom="1440" w:gutter="0" w:footer="0" w:header="0"/>
          <w:type w:val="continuous"/>
        </w:sectPr>
      </w:pPr>
    </w:p>
    <w:p>
      <w:pPr>
        <w:jc w:val="center"/>
        <w:ind w:right="-239"/>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1240"/>
          </w:cols>
          <w:pgMar w:left="300" w:top="781" w:right="359" w:bottom="1440" w:gutter="0" w:footer="0" w:header="0"/>
          <w:type w:val="continuous"/>
        </w:sectPr>
      </w:pPr>
    </w:p>
    <w:p>
      <w:pPr>
        <w:spacing w:after="0" w:line="169" w:lineRule="exact"/>
        <w:rPr>
          <w:sz w:val="24"/>
          <w:szCs w:val="24"/>
          <w:color w:val="auto"/>
        </w:rPr>
      </w:pPr>
    </w:p>
    <w:p>
      <w:pPr>
        <w:ind w:left="20" w:right="180"/>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6"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the Company’s outstanding shares of Common Stock on July 31, 2025 was 26,893,955.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458470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81"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PART I.</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FINANCIAL INFORMATION</w:t>
            </w:r>
          </w:p>
        </w:tc>
        <w:tc>
          <w:tcPr>
            <w:tcW w:w="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92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Consolidated Balance Sheets as of June 30, 2025 (unaudited) and December 31,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Operations for the Three and Six Months Ended June 30, 2025 and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Comprehensive (Loss) Income for the Three and Six Months Ended June 30, 2025 and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Cash Flows for the Six Months Ended June 30, 2025 and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Changes in Equity for the Three and Six Months Ended June 30, 2025 and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Controls and Procedures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 II.</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Legal Proceedings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Mine Safety Disclosures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SIGNATURES</w:t>
            </w:r>
          </w:p>
        </w:tc>
        <w:tc>
          <w:tcPr>
            <w:tcW w:w="94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0" w:type="dxa"/>
            <w:vAlign w:val="bottom"/>
          </w:tcPr>
          <w:p>
            <w:pPr>
              <w:spacing w:after="0"/>
              <w:rPr>
                <w:sz w:val="1"/>
                <w:szCs w:val="1"/>
                <w:color w:val="auto"/>
              </w:rPr>
            </w:pPr>
          </w:p>
        </w:tc>
      </w:tr>
      <w:tr>
        <w:trPr>
          <w:trHeight w:val="679"/>
        </w:trPr>
        <w:tc>
          <w:tcPr>
            <w:tcW w:w="920" w:type="dxa"/>
            <w:vAlign w:val="bottom"/>
          </w:tcPr>
          <w:p>
            <w:pPr>
              <w:spacing w:after="0"/>
              <w:rPr>
                <w:sz w:val="24"/>
                <w:szCs w:val="24"/>
                <w:color w:val="auto"/>
              </w:rPr>
            </w:pPr>
          </w:p>
        </w:tc>
        <w:tc>
          <w:tcPr>
            <w:tcW w:w="9420" w:type="dxa"/>
            <w:vAlign w:val="bottom"/>
          </w:tcPr>
          <w:p>
            <w:pPr>
              <w:ind w:left="4680"/>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9A9A9A"/>
            </w:tcBorders>
          </w:tcPr>
          <w:p>
            <w:pPr>
              <w:spacing w:after="0"/>
              <w:rPr>
                <w:sz w:val="7"/>
                <w:szCs w:val="7"/>
                <w:color w:val="auto"/>
              </w:rPr>
            </w:pPr>
          </w:p>
        </w:tc>
        <w:tc>
          <w:tcPr>
            <w:tcW w:w="9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006EBF"/>
        </w:rPr>
        <w:t>Glossary</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following initialisms or acronyms may be used in this document and shall be defined as set forth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AKIP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Advance Kern Incentive Program</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Accounting Standards Codification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Accounting Standards Update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AVEK</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Antelope Valley East Kern Water Agency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CFL</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Centennial Founders, LLC</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CBD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Center for Biological Diversity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CEQA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California Environmental Quality Act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Community Facilities District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CNPS</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California Native Plant Society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EIR</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Environmental Impact Report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FTZ</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Foreign Trade Zone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Generally Accepted Accounting Principles</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GHG</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Greenhouse Gas</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GSP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Groundwater Sustainability Plan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MV</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Mountain Village at Tejon Ranch</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Operating Income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NLER</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Liabilities to Equity Ratio</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PEF</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Pastoria Energy Facility, LLC</w:t>
            </w:r>
          </w:p>
        </w:tc>
      </w:tr>
      <w:tr>
        <w:trPr>
          <w:trHeight w:val="19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RCL</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Revolving Credit Line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RWA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Conservation and Land Use Agreement, a.k.a. Ranch Wide Agreement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State Water Project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TA/Petro</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Petro Travel Plaza Holdings, LLC</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TCWD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Tejon-Castac Water District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Co.</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Commerce Center</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TRPFFA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Public Facilities Financing Authority</w:t>
            </w:r>
          </w:p>
        </w:tc>
      </w:tr>
      <w:tr>
        <w:trPr>
          <w:trHeight w:val="184"/>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WRMWSD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Wheeler Ridge Maricopa Water Storage District</w:t>
            </w:r>
          </w:p>
        </w:tc>
      </w:tr>
      <w:tr>
        <w:trPr>
          <w:trHeight w:val="859"/>
        </w:trPr>
        <w:tc>
          <w:tcPr>
            <w:tcW w:w="1500" w:type="dxa"/>
            <w:vAlign w:val="bottom"/>
          </w:tcPr>
          <w:p>
            <w:pPr>
              <w:spacing w:after="0"/>
              <w:rPr>
                <w:sz w:val="24"/>
                <w:szCs w:val="24"/>
                <w:color w:val="auto"/>
              </w:rPr>
            </w:pPr>
          </w:p>
        </w:tc>
        <w:tc>
          <w:tcPr>
            <w:tcW w:w="9780" w:type="dxa"/>
            <w:vAlign w:val="bottom"/>
          </w:tcPr>
          <w:p>
            <w:pPr>
              <w:ind w:left="4100"/>
              <w:spacing w:after="0"/>
              <w:rPr>
                <w:sz w:val="20"/>
                <w:szCs w:val="20"/>
                <w:color w:val="auto"/>
              </w:rPr>
            </w:pPr>
            <w:r>
              <w:rPr>
                <w:rFonts w:ascii="Times New Roman" w:cs="Times New Roman" w:eastAsia="Times New Roman" w:hAnsi="Times New Roman"/>
                <w:sz w:val="14"/>
                <w:szCs w:val="14"/>
                <w:color w:val="auto"/>
              </w:rPr>
              <w:t>3</w:t>
            </w:r>
          </w:p>
        </w:tc>
      </w:tr>
      <w:tr>
        <w:trPr>
          <w:trHeight w:val="87"/>
        </w:trPr>
        <w:tc>
          <w:tcPr>
            <w:tcW w:w="1500" w:type="dxa"/>
            <w:vAlign w:val="bottom"/>
            <w:tcBorders>
              <w:bottom w:val="single" w:sz="8" w:color="9A9A9A"/>
            </w:tcBorders>
          </w:tcPr>
          <w:p>
            <w:pPr>
              <w:spacing w:after="0"/>
              <w:rPr>
                <w:sz w:val="7"/>
                <w:szCs w:val="7"/>
                <w:color w:val="auto"/>
              </w:rPr>
            </w:pPr>
          </w:p>
        </w:tc>
        <w:tc>
          <w:tcPr>
            <w:tcW w:w="9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in thousands,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 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184"/>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4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(unaudited)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32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39,267</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Marketable securities - available-for-sale</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14,441</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7,916</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Inventories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69,402</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16,253</w:t>
            </w:r>
          </w:p>
        </w:tc>
        <w:tc>
          <w:tcPr>
            <w:tcW w:w="0" w:type="dxa"/>
            <w:vAlign w:val="bottom"/>
          </w:tcPr>
          <w:p>
            <w:pPr>
              <w:spacing w:after="0"/>
              <w:rPr>
                <w:sz w:val="1"/>
                <w:szCs w:val="1"/>
                <w:color w:val="auto"/>
              </w:rPr>
            </w:pPr>
          </w:p>
        </w:tc>
      </w:tr>
      <w:tr>
        <w:trPr>
          <w:trHeight w:val="144"/>
        </w:trPr>
        <w:tc>
          <w:tcPr>
            <w:tcW w:w="73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Real estate development (includes $126,009 at June 30, 2025 and $124,136 at December 31, 2024, attributable to CFL (Note</w:t>
            </w:r>
          </w:p>
        </w:tc>
        <w:tc>
          <w:tcPr>
            <w:tcW w:w="1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w:t>
            </w:r>
          </w:p>
        </w:tc>
        <w:tc>
          <w:tcPr>
            <w:tcW w:w="14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384,035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377,905</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56,387</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joint ventures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28,980</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water assets</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55,091</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3,980</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618,541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607,998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7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AND EQUITY</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Trade accounts payable</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9,085</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income</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16,796</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line of credit</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66,942</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deferred gains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11,447</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9,059</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14,798</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119,042</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Tejon Ranch Co. stockholders’ equity</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Common stock, $0.50 par value per share:</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Authorized shares - 50,000,000</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 and outstanding shares - 26,880,668 at June 30, 2025 and 26,822,768 at December 31, 2024</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348,497</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Retained earnings</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111,598</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Tejon Ranch Co. stockholders’ equity</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473,594</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4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486,891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488,956</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400" w:type="dxa"/>
            <w:vAlign w:val="bottom"/>
            <w:tcBorders>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618,541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607,998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in thousands, except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09"/>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60"/>
        </w:trPr>
        <w:tc>
          <w:tcPr>
            <w:tcW w:w="452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5,495</w:t>
            </w:r>
          </w:p>
        </w:tc>
        <w:tc>
          <w:tcPr>
            <w:tcW w:w="0" w:type="dxa"/>
            <w:vAlign w:val="bottom"/>
          </w:tcPr>
          <w:p>
            <w:pPr>
              <w:spacing w:after="0"/>
              <w:rPr>
                <w:sz w:val="1"/>
                <w:szCs w:val="1"/>
                <w:color w:val="auto"/>
              </w:rPr>
            </w:pPr>
          </w:p>
        </w:tc>
      </w:tr>
      <w:tr>
        <w:trPr>
          <w:trHeight w:val="180"/>
        </w:trPr>
        <w:tc>
          <w:tcPr>
            <w:tcW w:w="4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8,307</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13,095</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0" w:type="dxa"/>
            <w:vAlign w:val="bottom"/>
          </w:tcPr>
          <w:p>
            <w:pPr>
              <w:spacing w:after="0"/>
              <w:rPr>
                <w:sz w:val="1"/>
                <w:szCs w:val="1"/>
                <w:color w:val="auto"/>
              </w:rPr>
            </w:pPr>
          </w:p>
        </w:tc>
      </w:tr>
      <w:tr>
        <w:trPr>
          <w:trHeight w:val="180"/>
        </w:trPr>
        <w:tc>
          <w:tcPr>
            <w:tcW w:w="4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0" w:type="dxa"/>
            <w:vAlign w:val="bottom"/>
          </w:tcPr>
          <w:p>
            <w:pPr>
              <w:spacing w:after="0"/>
              <w:rPr>
                <w:sz w:val="1"/>
                <w:szCs w:val="1"/>
                <w:color w:val="auto"/>
              </w:rPr>
            </w:pPr>
          </w:p>
        </w:tc>
      </w:tr>
      <w:tr>
        <w:trPr>
          <w:trHeight w:val="180"/>
        </w:trPr>
        <w:tc>
          <w:tcPr>
            <w:tcW w:w="4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Corporate expenses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4,900</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12,362</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20,627</w:t>
            </w:r>
          </w:p>
        </w:tc>
        <w:tc>
          <w:tcPr>
            <w:tcW w:w="0" w:type="dxa"/>
            <w:vAlign w:val="bottom"/>
          </w:tcPr>
          <w:p>
            <w:pPr>
              <w:spacing w:after="0"/>
              <w:rPr>
                <w:sz w:val="1"/>
                <w:szCs w:val="1"/>
                <w:color w:val="auto"/>
              </w:rPr>
            </w:pPr>
          </w:p>
        </w:tc>
      </w:tr>
      <w:tr>
        <w:trPr>
          <w:trHeight w:val="17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(7,532)</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income</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loss, net</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other income, net</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0" w:type="dxa"/>
            <w:vAlign w:val="bottom"/>
          </w:tcPr>
          <w:p>
            <w:pPr>
              <w:spacing w:after="0"/>
              <w:rPr>
                <w:sz w:val="1"/>
                <w:szCs w:val="1"/>
                <w:color w:val="auto"/>
              </w:rPr>
            </w:pPr>
          </w:p>
        </w:tc>
      </w:tr>
      <w:tr>
        <w:trPr>
          <w:trHeight w:val="118"/>
        </w:trPr>
        <w:tc>
          <w:tcPr>
            <w:tcW w:w="452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Loss before equity in earnings of unconsolidated joint ventures and income tax</w:t>
            </w:r>
          </w:p>
        </w:tc>
        <w:tc>
          <w:tcPr>
            <w:tcW w:w="10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 benefit</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common stockholders</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(loss) income per share attributable to common stockholders, basic</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2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9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ind w:right="9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per share attributable to common stockholders, diluted</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20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2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48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4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(loss) gain on available-for-sale securities</w:t>
            </w:r>
          </w:p>
        </w:tc>
        <w:tc>
          <w:tcPr>
            <w:tcW w:w="10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4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(loss) income before taxes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4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Income tax benefit related to other comprehensive loss items</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4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0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interests</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 attributable to common stockholders</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80" w:type="dxa"/>
            <w:vAlign w:val="bottom"/>
            <w:tcBorders>
              <w:bottom w:val="single" w:sz="8" w:color="auto"/>
            </w:tcBorders>
            <w:gridSpan w:val="6"/>
          </w:tcPr>
          <w:p>
            <w:pPr>
              <w:jc w:val="right"/>
              <w:ind w:right="28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income</w:t>
            </w:r>
          </w:p>
        </w:tc>
        <w:tc>
          <w:tcPr>
            <w:tcW w:w="1100" w:type="dxa"/>
            <w:vAlign w:val="bottom"/>
            <w:gridSpan w:val="2"/>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(3,179)</w:t>
            </w:r>
          </w:p>
        </w:tc>
        <w:tc>
          <w:tcPr>
            <w:tcW w:w="1180" w:type="dxa"/>
            <w:vAlign w:val="bottom"/>
            <w:gridSpan w:val="3"/>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operating activities: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180"/>
        </w:trPr>
        <w:tc>
          <w:tcPr>
            <w:tcW w:w="7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Amortization of discount of marketable securities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(3,713)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0" w:type="dxa"/>
            <w:vAlign w:val="bottom"/>
          </w:tcPr>
          <w:p>
            <w:pPr>
              <w:spacing w:after="0"/>
              <w:rPr>
                <w:sz w:val="1"/>
                <w:szCs w:val="1"/>
                <w:color w:val="auto"/>
              </w:rPr>
            </w:pPr>
          </w:p>
        </w:tc>
      </w:tr>
      <w:tr>
        <w:trPr>
          <w:trHeight w:val="180"/>
        </w:trPr>
        <w:tc>
          <w:tcPr>
            <w:tcW w:w="7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Non-cash retirement plan expense</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Gain on sale of property plant and equipment</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7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income taxes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0" w:type="dxa"/>
            <w:vAlign w:val="bottom"/>
          </w:tcPr>
          <w:p>
            <w:pPr>
              <w:spacing w:after="0"/>
              <w:rPr>
                <w:sz w:val="1"/>
                <w:szCs w:val="1"/>
                <w:color w:val="auto"/>
              </w:rPr>
            </w:pPr>
          </w:p>
        </w:tc>
      </w:tr>
      <w:tr>
        <w:trPr>
          <w:trHeight w:val="180"/>
        </w:trPr>
        <w:tc>
          <w:tcPr>
            <w:tcW w:w="7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Excess tax provision (benefit) from stock-based compensation</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 of earnings from unconsolidated joint ventures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Receivables, inventories, prepaids and other assets, net</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0" w:type="dxa"/>
            <w:vAlign w:val="bottom"/>
          </w:tcPr>
          <w:p>
            <w:pPr>
              <w:spacing w:after="0"/>
              <w:rPr>
                <w:sz w:val="1"/>
                <w:szCs w:val="1"/>
                <w:color w:val="auto"/>
              </w:rPr>
            </w:pPr>
          </w:p>
        </w:tc>
      </w:tr>
      <w:tr>
        <w:trPr>
          <w:trHeight w:val="180"/>
        </w:trPr>
        <w:tc>
          <w:tcPr>
            <w:tcW w:w="7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(1,988)</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(1,726)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Maturities and sales of marketable securities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76,869</w:t>
            </w: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Funds invested in marketable securities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(26,652)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(60,500)</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and equipment expenditures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(37,146)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(22,077)</w:t>
            </w: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Reimbursement proceeds from Community Facilities District</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 of equity from unconsolidated joint ventures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0" w:type="dxa"/>
            <w:vAlign w:val="bottom"/>
          </w:tcPr>
          <w:p>
            <w:pPr>
              <w:spacing w:after="0"/>
              <w:rPr>
                <w:sz w:val="1"/>
                <w:szCs w:val="1"/>
                <w:color w:val="auto"/>
              </w:rPr>
            </w:pPr>
          </w:p>
        </w:tc>
      </w:tr>
      <w:tr>
        <w:trPr>
          <w:trHeight w:val="180"/>
        </w:trPr>
        <w:tc>
          <w:tcPr>
            <w:tcW w:w="77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Investments in water assets</w:t>
            </w:r>
          </w:p>
        </w:tc>
        <w:tc>
          <w:tcPr>
            <w:tcW w:w="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(9,519)</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0" w:type="dxa"/>
            <w:vAlign w:val="bottom"/>
          </w:tcPr>
          <w:p>
            <w:pPr>
              <w:spacing w:after="0"/>
              <w:rPr>
                <w:sz w:val="1"/>
                <w:szCs w:val="1"/>
                <w:color w:val="auto"/>
              </w:rPr>
            </w:pP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(49,551)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Borrowings on line of credit</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80"/>
        </w:trPr>
        <w:tc>
          <w:tcPr>
            <w:tcW w:w="77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Taxes on vested stock grants</w:t>
            </w:r>
          </w:p>
        </w:tc>
        <w:tc>
          <w:tcPr>
            <w:tcW w:w="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(490)</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0" w:type="dxa"/>
            <w:vAlign w:val="bottom"/>
          </w:tcPr>
          <w:p>
            <w:pPr>
              <w:spacing w:after="0"/>
              <w:rPr>
                <w:sz w:val="1"/>
                <w:szCs w:val="1"/>
                <w:color w:val="auto"/>
              </w:rPr>
            </w:pP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increase in cash, cash equivalents, and restricted cash</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(36,767)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39,767</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32,407</w:t>
            </w:r>
          </w:p>
        </w:tc>
        <w:tc>
          <w:tcPr>
            <w:tcW w:w="0" w:type="dxa"/>
            <w:vAlign w:val="bottom"/>
          </w:tcPr>
          <w:p>
            <w:pPr>
              <w:spacing w:after="0"/>
              <w:rPr>
                <w:sz w:val="1"/>
                <w:szCs w:val="1"/>
                <w:color w:val="auto"/>
              </w:rPr>
            </w:pP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0" w:type="dxa"/>
            <w:vAlign w:val="bottom"/>
          </w:tcPr>
          <w:p>
            <w:pPr>
              <w:spacing w:after="0"/>
              <w:rPr>
                <w:sz w:val="14"/>
                <w:szCs w:val="14"/>
                <w:color w:val="auto"/>
              </w:rPr>
            </w:pP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33,532</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77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w:t>
            </w:r>
          </w:p>
        </w:tc>
        <w:tc>
          <w:tcPr>
            <w:tcW w:w="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00" w:type="dxa"/>
            <w:vAlign w:val="bottom"/>
            <w:gridSpan w:val="2"/>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33,032</w:t>
            </w:r>
          </w:p>
        </w:tc>
        <w:tc>
          <w:tcPr>
            <w:tcW w:w="0" w:type="dxa"/>
            <w:vAlign w:val="bottom"/>
          </w:tcPr>
          <w:p>
            <w:pPr>
              <w:spacing w:after="0"/>
              <w:rPr>
                <w:sz w:val="1"/>
                <w:szCs w:val="1"/>
                <w:color w:val="auto"/>
              </w:rPr>
            </w:pP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 (Shown in prepaid expenses and other current assets)</w:t>
            </w:r>
          </w:p>
        </w:tc>
        <w:tc>
          <w:tcPr>
            <w:tcW w:w="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 included in current liabilities</w:t>
            </w:r>
          </w:p>
        </w:tc>
        <w:tc>
          <w:tcPr>
            <w:tcW w:w="1100" w:type="dxa"/>
            <w:vAlign w:val="bottom"/>
            <w:gridSpan w:val="2"/>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40" w:type="dxa"/>
            <w:vAlign w:val="bottom"/>
          </w:tcPr>
          <w:p>
            <w:pPr>
              <w:spacing w:after="0"/>
              <w:rPr>
                <w:sz w:val="15"/>
                <w:szCs w:val="15"/>
                <w:color w:val="auto"/>
              </w:rPr>
            </w:pPr>
          </w:p>
        </w:tc>
        <w:tc>
          <w:tcPr>
            <w:tcW w:w="1180" w:type="dxa"/>
            <w:vAlign w:val="bottom"/>
            <w:gridSpan w:val="3"/>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5,579</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780" w:type="dxa"/>
            <w:vAlign w:val="bottom"/>
            <w:tcBorders>
              <w:bottom w:val="single" w:sz="8" w:color="CCEEFF"/>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Accrued long-term water assets included in current liabilities</w:t>
            </w:r>
          </w:p>
        </w:tc>
        <w:tc>
          <w:tcPr>
            <w:tcW w:w="1100" w:type="dxa"/>
            <w:vAlign w:val="bottom"/>
            <w:tcBorders>
              <w:bottom w:val="single" w:sz="8" w:color="auto"/>
            </w:tcBorders>
            <w:gridSpan w:val="2"/>
            <w:shd w:val="clear" w:color="auto" w:fill="CCEEFF"/>
          </w:tcPr>
          <w:p>
            <w:pPr>
              <w:jc w:val="right"/>
              <w:ind w:right="94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1,552</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ind w:right="96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shares outstanding)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Total</w:t>
            </w:r>
          </w:p>
        </w:tc>
        <w:tc>
          <w:tcPr>
            <w:tcW w:w="100" w:type="dxa"/>
            <w:vAlign w:val="bottom"/>
          </w:tcPr>
          <w:p>
            <w:pPr>
              <w:spacing w:after="0"/>
              <w:rPr>
                <w:sz w:val="13"/>
                <w:szCs w:val="13"/>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Non-controlling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1"/>
                <w:szCs w:val="11"/>
                <w:color w:val="auto"/>
              </w:rPr>
            </w:pPr>
          </w:p>
        </w:tc>
        <w:tc>
          <w:tcPr>
            <w:tcW w:w="11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Stockholders'</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Outstanding</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Interest</w:t>
            </w:r>
          </w:p>
        </w:tc>
        <w:tc>
          <w:tcPr>
            <w:tcW w:w="12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Total Equity</w:t>
            </w:r>
          </w:p>
        </w:tc>
        <w:tc>
          <w:tcPr>
            <w:tcW w:w="0" w:type="dxa"/>
            <w:vAlign w:val="bottom"/>
          </w:tcPr>
          <w:p>
            <w:pPr>
              <w:spacing w:after="0"/>
              <w:rPr>
                <w:sz w:val="1"/>
                <w:szCs w:val="1"/>
                <w:color w:val="auto"/>
              </w:rPr>
            </w:pPr>
          </w:p>
        </w:tc>
      </w:tr>
      <w:tr>
        <w:trPr>
          <w:trHeight w:val="171"/>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26,867,600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348,829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110,134</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472,478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15,360</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487,838</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7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26,880,668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13,441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349,592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108,422</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471,532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15,359</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486,891</w:t>
            </w:r>
          </w:p>
        </w:tc>
        <w:tc>
          <w:tcPr>
            <w:tcW w:w="0" w:type="dxa"/>
            <w:vAlign w:val="bottom"/>
          </w:tcPr>
          <w:p>
            <w:pPr>
              <w:spacing w:after="0"/>
              <w:rPr>
                <w:sz w:val="1"/>
                <w:szCs w:val="1"/>
                <w:color w:val="auto"/>
              </w:rPr>
            </w:pPr>
          </w:p>
        </w:tc>
      </w:tr>
      <w:tr>
        <w:trPr>
          <w:trHeight w:val="91"/>
        </w:trPr>
        <w:tc>
          <w:tcPr>
            <w:tcW w:w="2780" w:type="dxa"/>
            <w:vAlign w:val="bottom"/>
            <w:tcBorders>
              <w:bottom w:val="single" w:sz="8" w:color="CCEEFF"/>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7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26,797,440</w:t>
            </w: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346,141</w:t>
            </w: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107,994</w:t>
            </w: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467,358</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15,364</w:t>
            </w: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482,722</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26,806,409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108,951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484,583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Total</w:t>
            </w:r>
          </w:p>
        </w:tc>
        <w:tc>
          <w:tcPr>
            <w:tcW w:w="100" w:type="dxa"/>
            <w:vAlign w:val="bottom"/>
          </w:tcPr>
          <w:p>
            <w:pPr>
              <w:spacing w:after="0"/>
              <w:rPr>
                <w:sz w:val="13"/>
                <w:szCs w:val="13"/>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Non-controlling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1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Stockholders'</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Outstanding</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Interest</w:t>
            </w:r>
          </w:p>
        </w:tc>
        <w:tc>
          <w:tcPr>
            <w:tcW w:w="1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26,822,768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348,497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111,598</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473,594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26,880,668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108,422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486,891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0" w:type="dxa"/>
            <w:vAlign w:val="bottom"/>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26,770,545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345,609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26,806,409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108,951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484,583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UNAUDITED CONSOLIDATED FINANCIAL STATEMENTS</w:t>
      </w:r>
    </w:p>
    <w:p>
      <w:pPr>
        <w:spacing w:after="0" w:line="35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3"/>
          <w:szCs w:val="13"/>
          <w:b w:val="1"/>
          <w:bCs w:val="1"/>
          <w:color w:val="auto"/>
        </w:rPr>
        <w:t>BASIS OF PRESENTATION</w:t>
      </w:r>
    </w:p>
    <w:p>
      <w:pPr>
        <w:spacing w:after="0" w:line="8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summarized information of Tejon Ranch Co. and its subsidiaries (the Company, TRC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3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periods ended June 30, 2025 and 2024 include the consolidation of CFL’s statements of operations within the resort/residential real estate development segment, statements of changes in equity, and statements of cash flows. The Company’s June 30, 2025 and December 31, 2024 balance sheets are presented on a consolidated basis, including the consolidation of CFL.</w:t>
      </w:r>
    </w:p>
    <w:p>
      <w:pPr>
        <w:spacing w:after="0" w:line="2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has identified five reportable segments: commercial/industrial real estate development, resort/residential real estate development, mineral resources, farming, and ranch operations. Information for the Company’s reportable segments is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4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results of the period reported herein are not indicative of the results to be expected for the full year due to the seasonal nature of the Company’s agricultural activities, water activities, and timing of real estate sales and leasing activities. Historically, the Company’s largest percentages of farming revenues are recognized during the third and fourth quarters of the fiscal year.</w:t>
      </w:r>
    </w:p>
    <w:p>
      <w:pPr>
        <w:spacing w:after="0" w:line="1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For further information and a summary of significant accounting policies, refer to the Consolidated Financial Statements and notes thereto included in the Company’s Annual Report on Form 10-K for the year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w:t>
      </w:r>
    </w:p>
    <w:p>
      <w:pPr>
        <w:spacing w:after="0" w:line="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Certain financial instruments are carried on the consolidated balance sheets at cost or amortized cost basis, which approximates fair value due to their short-term and highly liquid nature. These instruments include cash and cash equivalents, restricted cash, time deposits, accounts receivable, security deposits held for customers, accounts payable, and other accrued liabilities. The fair value of the revolving line of credit also approximates its carrying value, as the interest rate is variable and approximates prevailing market interest rates for similar debt arrangements.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Cash</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Restricted cash is included in Prepaid expenses and other current assets within the Consolidated Balance Sheets and primarily relates to funds held in escrow. The Company had $500,000 of restricted cash as of June 30, 2025 and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 Adopted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Combinations - Joint Venture Formations</w:t>
      </w:r>
    </w:p>
    <w:p>
      <w:pPr>
        <w:spacing w:after="0" w:line="11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In August 2023, FASB issued ASU No. 2023-05, "Business Combinations - Joint Venture Formations." This ASU addresses the accounting for contributions made to a joint venture, upon formation, in a joint venture's separate financial statements. The pronouncement requires a joint venture to initially measure contributions at fair value upon formation, which is more relevant than the carrying amounts of the contributed net assets and would reduce equity method basis differences. The ASU is effective prospectively for all joint venture formations with a formation date on or after January 1, 2025. This pronouncement did not have a material effect on our consolidated financial statements.</w:t>
      </w:r>
    </w:p>
    <w:p>
      <w:pPr>
        <w:spacing w:after="0" w:line="96" w:lineRule="exact"/>
        <w:rPr>
          <w:sz w:val="20"/>
          <w:szCs w:val="20"/>
          <w:color w:val="auto"/>
        </w:rPr>
      </w:pPr>
    </w:p>
    <w:p>
      <w:pPr>
        <w:ind w:right="4820"/>
        <w:spacing w:after="0" w:line="428" w:lineRule="auto"/>
        <w:rPr>
          <w:sz w:val="20"/>
          <w:szCs w:val="20"/>
          <w:color w:val="auto"/>
        </w:rPr>
      </w:pPr>
      <w:r>
        <w:rPr>
          <w:rFonts w:ascii="Times New Roman" w:cs="Times New Roman" w:eastAsia="Times New Roman" w:hAnsi="Times New Roman"/>
          <w:sz w:val="14"/>
          <w:szCs w:val="14"/>
          <w:b w:val="1"/>
          <w:bCs w:val="1"/>
          <w:color w:val="auto"/>
        </w:rPr>
        <w:t xml:space="preserve">New Accounting Pronouncements and Climate Change Related Update by SEC Effective in Future Periods </w:t>
      </w:r>
      <w:r>
        <w:rPr>
          <w:rFonts w:ascii="Times New Roman" w:cs="Times New Roman" w:eastAsia="Times New Roman" w:hAnsi="Times New Roman"/>
          <w:sz w:val="14"/>
          <w:szCs w:val="14"/>
          <w:i w:val="1"/>
          <w:iCs w:val="1"/>
          <w:color w:val="auto"/>
        </w:rPr>
        <w:t>Income Taxes</w:t>
      </w:r>
    </w:p>
    <w:p>
      <w:pPr>
        <w:spacing w:after="0" w:line="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(Topic740) - Improvements to Income Tax Disclosures". This ASU requires public business entities to disclose a tabular rate reconciliation of both percentages and reporting currency amounts on an annual basis. The ASU also requires disclosure of information on the amount of income taxes paid disaggregated by federal, state and foreign taxes. This ASU is effective for annual periods beginning after December 15, 2024. The pronouncement is not expected to have a material effect on our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color w:val="auto"/>
        </w:rPr>
        <w:t>Rules to Enhance and Standardize Climate-related Disclosures for Investors</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On March 6, 2024, the SEC adopted final rules to require registrants to disclose certain climate-related information in registration statements and annual reports. On April 4, 2024, the SEC issued an order staying the final rules pending completion of judicial review of the petitions challenging the final rules. The order does not amend the compliance dates contemplated by the final rules, which are applicable to the Company for fiscal years beginning with the Company’s annual report on Form 10-K for the fiscal year ending December 31, 2027; however, the SEC disclosed in its litigation filings that it would publish a new effective date for the rules at the conclusion of its stay. On February 11, 2025, the SEC also indicated it would ask the court to hold on scheduling further arguments while the SEC reassessed its position in the litigation. Subsequently, on March 27, 2025, the SEC voted to cease defending the rule in court. Despite withdrawing its defense, the SEC has not formally rescinded the rule. We are continuing to evaluate the implications of the pending adoption of these requirements in light of this development, including potential impacts on our financial statement disclosures.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Expense Disaggregation Disclosures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 November 2024, the FASB issued ASU No. 2024-03, "Income Statement - Reporting Comprehensive Income - Expense Disaggregation Disclosures (Subtopic 220-40)." This ASU requires public business entities to disclose specified information about certain costs and expenses, including the amounts of purchases of inventory, employee compensation, depreciation, intangible asset amortization and depreciation, depletion and amortization recognized as part of oil- and gas-producing activities included in each relevant expense caption. The ASU also requires disclosure of a qualitative description of the amounts remaining in relevant expense captions that are not separately disaggregated quantitatively. This ASU is effective for annual reporting periods beginning after December 15, 2026. We are currently evaluating the impact of these requirements on our financial statement disclosures.</w:t>
      </w:r>
    </w:p>
    <w:p>
      <w:pPr>
        <w:spacing w:after="0" w:line="9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EQUITY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 (EPS)</w:t>
      </w:r>
    </w:p>
    <w:p>
      <w:pPr>
        <w:spacing w:after="0" w:line="8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Basic net income (loss) per share attributable to common stockholders is based upon the weighted-average number of shares of common stock outstanding during reporting periods. Diluted net income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Topic 260, “Earnings Per Share.”</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440" w:type="dxa"/>
            <w:vAlign w:val="bottom"/>
            <w:gridSpan w:val="4"/>
          </w:tcPr>
          <w:p>
            <w:pPr>
              <w:ind w:left="82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340" w:type="dxa"/>
            <w:vAlign w:val="bottom"/>
            <w:gridSpan w:val="3"/>
          </w:tcPr>
          <w:p>
            <w:pPr>
              <w:jc w:val="right"/>
              <w:ind w:right="829"/>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number of shares outstanding:</w:t>
            </w:r>
          </w:p>
        </w:tc>
        <w:tc>
          <w:tcPr>
            <w:tcW w:w="160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top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c>
          <w:tcPr>
            <w:tcW w:w="160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60"/>
        </w:trPr>
        <w:tc>
          <w:tcPr>
            <w:tcW w:w="444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26,878,658</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26,800,594</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26,865,687</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26,794,469</w:t>
            </w:r>
          </w:p>
        </w:tc>
        <w:tc>
          <w:tcPr>
            <w:tcW w:w="0" w:type="dxa"/>
            <w:vAlign w:val="bottom"/>
          </w:tcPr>
          <w:p>
            <w:pPr>
              <w:spacing w:after="0"/>
              <w:rPr>
                <w:sz w:val="1"/>
                <w:szCs w:val="1"/>
                <w:color w:val="auto"/>
              </w:rPr>
            </w:pPr>
          </w:p>
        </w:tc>
      </w:tr>
      <w:tr>
        <w:trPr>
          <w:trHeight w:val="180"/>
        </w:trPr>
        <w:tc>
          <w:tcPr>
            <w:tcW w:w="4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 equivalents</w:t>
            </w:r>
          </w:p>
        </w:tc>
        <w:tc>
          <w:tcPr>
            <w:tcW w:w="1740" w:type="dxa"/>
            <w:vAlign w:val="bottom"/>
            <w:gridSpan w:val="2"/>
          </w:tcPr>
          <w:p>
            <w:pPr>
              <w:ind w:left="1400"/>
              <w:spacing w:after="0" w:line="18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48,746</w:t>
            </w:r>
          </w:p>
        </w:tc>
        <w:tc>
          <w:tcPr>
            <w:tcW w:w="100" w:type="dxa"/>
            <w:vAlign w:val="bottom"/>
          </w:tcPr>
          <w:p>
            <w:pPr>
              <w:spacing w:after="0"/>
              <w:rPr>
                <w:sz w:val="15"/>
                <w:szCs w:val="15"/>
                <w:color w:val="auto"/>
              </w:rPr>
            </w:pPr>
          </w:p>
        </w:tc>
        <w:tc>
          <w:tcPr>
            <w:tcW w:w="1720" w:type="dxa"/>
            <w:vAlign w:val="bottom"/>
            <w:gridSpan w:val="2"/>
          </w:tcPr>
          <w:p>
            <w:pPr>
              <w:ind w:left="1400"/>
              <w:spacing w:after="0" w:line="18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vertAlign w:val="superscript"/>
              </w:rPr>
              <w:t>1</w:t>
            </w: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83,702</w:t>
            </w:r>
          </w:p>
        </w:tc>
        <w:tc>
          <w:tcPr>
            <w:tcW w:w="0" w:type="dxa"/>
            <w:vAlign w:val="bottom"/>
          </w:tcPr>
          <w:p>
            <w:pPr>
              <w:spacing w:after="0"/>
              <w:rPr>
                <w:sz w:val="1"/>
                <w:szCs w:val="1"/>
                <w:color w:val="auto"/>
              </w:rPr>
            </w:pPr>
          </w:p>
        </w:tc>
      </w:tr>
      <w:tr>
        <w:trPr>
          <w:trHeight w:val="175"/>
        </w:trPr>
        <w:tc>
          <w:tcPr>
            <w:tcW w:w="4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 shares outstanding</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26,878,658</w:t>
            </w:r>
          </w:p>
        </w:tc>
        <w:tc>
          <w:tcPr>
            <w:tcW w:w="14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26,849,340</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26,865,687</w:t>
            </w:r>
          </w:p>
        </w:tc>
        <w:tc>
          <w:tcPr>
            <w:tcW w:w="120" w:type="dxa"/>
            <w:vAlign w:val="bottom"/>
          </w:tcPr>
          <w:p>
            <w:pPr>
              <w:spacing w:after="0"/>
              <w:rPr>
                <w:sz w:val="15"/>
                <w:szCs w:val="15"/>
                <w:color w:val="auto"/>
              </w:rPr>
            </w:pPr>
          </w:p>
        </w:tc>
        <w:tc>
          <w:tcPr>
            <w:tcW w:w="16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26,878,171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-123190</wp:posOffset>
            </wp:positionV>
            <wp:extent cx="7114540"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4540" cy="134620"/>
                    </a:xfrm>
                    <a:prstGeom prst="rect">
                      <a:avLst/>
                    </a:prstGeom>
                    <a:noFill/>
                  </pic:spPr>
                </pic:pic>
              </a:graphicData>
            </a:graphic>
          </wp:anchor>
        </w:drawing>
      </w:r>
    </w:p>
    <w:p>
      <w:pPr>
        <w:ind w:left="60" w:right="80" w:hanging="4"/>
        <w:spacing w:after="0" w:line="211" w:lineRule="auto"/>
        <w:tabs>
          <w:tab w:leader="none" w:pos="125"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For the three months ended June 30, 2025, 76,687 shares of restricted stock were excluded from the calculation of diluted net loss per share as the shares were antidilutive. For the six months ended June 30, 2025, 75,835 shares of restricted stock were excluded from the calculation of diluted net loss per share as the shares were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-155575</wp:posOffset>
            </wp:positionV>
            <wp:extent cx="43053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05300" cy="69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1" w:name="page12"/>
    <w:bookmarkEnd w:id="11"/>
    <w:p>
      <w:pPr>
        <w:ind w:left="280" w:hanging="275"/>
        <w:spacing w:after="0"/>
        <w:tabs>
          <w:tab w:leader="none" w:pos="28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MARKETABLE SECURITIES</w:t>
      </w:r>
    </w:p>
    <w:p>
      <w:pPr>
        <w:spacing w:after="0" w:line="8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ASC Topic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80" w:type="dxa"/>
            <w:vAlign w:val="bottom"/>
            <w:vMerge w:val="restart"/>
          </w:tcPr>
          <w:p>
            <w:pPr>
              <w:jc w:val="center"/>
              <w:ind w:left="1049"/>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Pr>
          <w:p>
            <w:pPr>
              <w:spacing w:after="0"/>
              <w:rPr>
                <w:sz w:val="16"/>
                <w:szCs w:val="16"/>
                <w:color w:val="auto"/>
              </w:rPr>
            </w:pPr>
          </w:p>
        </w:tc>
        <w:tc>
          <w:tcPr>
            <w:tcW w:w="2200" w:type="dxa"/>
            <w:vAlign w:val="bottom"/>
            <w:gridSpan w:val="5"/>
          </w:tcPr>
          <w:p>
            <w:pPr>
              <w:ind w:left="540"/>
              <w:spacing w:after="0"/>
              <w:rPr>
                <w:sz w:val="20"/>
                <w:szCs w:val="20"/>
                <w:color w:val="auto"/>
              </w:rPr>
            </w:pPr>
            <w:r>
              <w:rPr>
                <w:rFonts w:ascii="Times New Roman" w:cs="Times New Roman" w:eastAsia="Times New Roman" w:hAnsi="Times New Roman"/>
                <w:sz w:val="14"/>
                <w:szCs w:val="14"/>
                <w:color w:val="auto"/>
              </w:rPr>
              <w:t>June 30, 2025</w:t>
            </w:r>
          </w:p>
        </w:tc>
        <w:tc>
          <w:tcPr>
            <w:tcW w:w="260" w:type="dxa"/>
            <w:vAlign w:val="bottom"/>
          </w:tcPr>
          <w:p>
            <w:pPr>
              <w:spacing w:after="0"/>
              <w:rPr>
                <w:sz w:val="16"/>
                <w:szCs w:val="16"/>
                <w:color w:val="auto"/>
              </w:rPr>
            </w:pPr>
          </w:p>
        </w:tc>
        <w:tc>
          <w:tcPr>
            <w:tcW w:w="212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118"/>
        </w:trPr>
        <w:tc>
          <w:tcPr>
            <w:tcW w:w="41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540" w:type="dxa"/>
            <w:vAlign w:val="bottom"/>
            <w:gridSpan w:val="2"/>
          </w:tcPr>
          <w:p>
            <w:pPr>
              <w:jc w:val="center"/>
              <w:ind w:left="789"/>
              <w:spacing w:after="0"/>
              <w:rPr>
                <w:sz w:val="20"/>
                <w:szCs w:val="20"/>
                <w:color w:val="auto"/>
              </w:rPr>
            </w:pPr>
            <w:r>
              <w:rPr>
                <w:rFonts w:ascii="Times New Roman" w:cs="Times New Roman" w:eastAsia="Times New Roman" w:hAnsi="Times New Roman"/>
                <w:sz w:val="14"/>
                <w:szCs w:val="14"/>
                <w:color w:val="auto"/>
                <w:w w:val="99"/>
              </w:rPr>
              <w:t>Hierarchy</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Pr>
          <w:p>
            <w:pPr>
              <w:spacing w:after="0"/>
              <w:rPr>
                <w:sz w:val="16"/>
                <w:szCs w:val="16"/>
                <w:color w:val="auto"/>
              </w:rPr>
            </w:pPr>
          </w:p>
        </w:tc>
        <w:tc>
          <w:tcPr>
            <w:tcW w:w="9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6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Certificates of deposit</w:t>
            </w:r>
          </w:p>
        </w:tc>
        <w:tc>
          <w:tcPr>
            <w:tcW w:w="2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with unrealized gains</w:t>
            </w:r>
          </w:p>
        </w:tc>
        <w:tc>
          <w:tcPr>
            <w:tcW w:w="2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Certificates of deposit</w:t>
            </w:r>
          </w:p>
        </w:tc>
        <w:tc>
          <w:tcPr>
            <w:tcW w:w="2280" w:type="dxa"/>
            <w:vAlign w:val="bottom"/>
            <w:shd w:val="clear" w:color="auto" w:fill="CCEEFF"/>
          </w:tcPr>
          <w:p>
            <w:pPr>
              <w:jc w:val="center"/>
              <w:ind w:left="1049"/>
              <w:spacing w:after="0"/>
              <w:rPr>
                <w:sz w:val="20"/>
                <w:szCs w:val="20"/>
                <w:color w:val="auto"/>
              </w:rPr>
            </w:pPr>
            <w:r>
              <w:rPr>
                <w:rFonts w:ascii="Times New Roman" w:cs="Times New Roman" w:eastAsia="Times New Roman" w:hAnsi="Times New Roman"/>
                <w:sz w:val="14"/>
                <w:szCs w:val="14"/>
                <w:color w:val="auto"/>
              </w:rPr>
              <w:t>Level 1</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6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and agency notes</w:t>
            </w:r>
          </w:p>
        </w:tc>
        <w:tc>
          <w:tcPr>
            <w:tcW w:w="2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6,109</w:t>
            </w:r>
          </w:p>
        </w:tc>
        <w:tc>
          <w:tcPr>
            <w:tcW w:w="0" w:type="dxa"/>
            <w:vAlign w:val="bottom"/>
          </w:tcPr>
          <w:p>
            <w:pPr>
              <w:spacing w:after="0"/>
              <w:rPr>
                <w:sz w:val="1"/>
                <w:szCs w:val="1"/>
                <w:color w:val="auto"/>
              </w:rPr>
            </w:pPr>
          </w:p>
        </w:tc>
      </w:tr>
      <w:tr>
        <w:trPr>
          <w:trHeight w:val="180"/>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with unrealized gains</w:t>
            </w:r>
          </w:p>
        </w:tc>
        <w:tc>
          <w:tcPr>
            <w:tcW w:w="2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7,583</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U.S. Treasury and agency notes</w:t>
            </w:r>
          </w:p>
        </w:tc>
        <w:tc>
          <w:tcPr>
            <w:tcW w:w="2280" w:type="dxa"/>
            <w:vAlign w:val="bottom"/>
            <w:shd w:val="clear" w:color="auto" w:fill="CCEEFF"/>
          </w:tcPr>
          <w:p>
            <w:pPr>
              <w:jc w:val="center"/>
              <w:ind w:left="104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13,692</w:t>
            </w:r>
          </w:p>
        </w:tc>
        <w:tc>
          <w:tcPr>
            <w:tcW w:w="0" w:type="dxa"/>
            <w:vAlign w:val="bottom"/>
          </w:tcPr>
          <w:p>
            <w:pPr>
              <w:spacing w:after="0"/>
              <w:rPr>
                <w:sz w:val="1"/>
                <w:szCs w:val="1"/>
                <w:color w:val="auto"/>
              </w:rPr>
            </w:pPr>
          </w:p>
        </w:tc>
      </w:tr>
      <w:tr>
        <w:trPr>
          <w:trHeight w:val="16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notes</w:t>
            </w:r>
          </w:p>
        </w:tc>
        <w:tc>
          <w:tcPr>
            <w:tcW w:w="2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unrealized gains</w:t>
            </w:r>
          </w:p>
        </w:tc>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Corporate notes</w:t>
            </w:r>
          </w:p>
        </w:tc>
        <w:tc>
          <w:tcPr>
            <w:tcW w:w="2280" w:type="dxa"/>
            <w:vAlign w:val="bottom"/>
            <w:tcBorders>
              <w:top w:val="single" w:sz="8" w:color="CCEEFF"/>
            </w:tcBorders>
            <w:shd w:val="clear" w:color="auto" w:fill="CCEEFF"/>
          </w:tcPr>
          <w:p>
            <w:pPr>
              <w:jc w:val="center"/>
              <w:ind w:left="104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notes</w:t>
            </w:r>
          </w:p>
        </w:tc>
        <w:tc>
          <w:tcPr>
            <w:tcW w:w="2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0"/>
        </w:trPr>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unrealized gains</w:t>
            </w:r>
          </w:p>
        </w:tc>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Municipal notes</w:t>
            </w:r>
          </w:p>
        </w:tc>
        <w:tc>
          <w:tcPr>
            <w:tcW w:w="2280" w:type="dxa"/>
            <w:vAlign w:val="bottom"/>
            <w:tcBorders>
              <w:top w:val="single" w:sz="8" w:color="CCEEFF"/>
            </w:tcBorders>
            <w:shd w:val="clear" w:color="auto" w:fill="CCEEFF"/>
          </w:tcPr>
          <w:p>
            <w:pPr>
              <w:jc w:val="center"/>
              <w:ind w:left="104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uses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June 30, 2025, the Company has not recorded any credit losses.</w:t>
      </w:r>
    </w:p>
    <w:p>
      <w:pPr>
        <w:spacing w:after="0" w:line="4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As of June 30, 2025, the fair market value of investment securities was $10,000 below their cost basis. The Company’s gross unrealized holding gains equaled $2,000 and gross unrealized holding losses equaled $12,000. For the three months ended June 30, 2025, the adjustment to accumulated other comprehensive loss reflected a decrease in market value of $6,000, before the impact of an estimated tax benefit of $2,000. For the six months ended June 30, 2025, the adjustment to accumulated other comprehensive loss reflected a decline in market value of $14,000, before the impact of an estimated tax benefit of $4,000.</w:t>
      </w:r>
    </w:p>
    <w:p>
      <w:pPr>
        <w:spacing w:after="0" w:line="3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elected to exclude applicable accrued interest from both the fair value and the amortized cost basis of the available-for-sale debt securities, and separately present the accrued interest receivable balance. The accrued interest receivables balance totaled $175,000 as of June 30, 2025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U.S. Treasury and agency notes</w:t>
      </w:r>
    </w:p>
    <w:p>
      <w:pPr>
        <w:spacing w:after="0" w:line="8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unrealized losses on the Company's investments in U.S. Treasury and agency notes at June 30, 2025 and December 31, 2024 were caused by relative changes in interest rates since the time of purchase and not changes in credit quality. The contractual cash flows for these securities are guaranteed by U.S. government agencies. As of June 30, 2025 and December 31, 2024, the Company did not intend to sell these securities and it is not more-likely-than-not that the Company would be required to sell these securities before recovery of their cost basis. Therefore, these investments did not require an ACL as of June 30, 2025 and December 31, 2024.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auto"/>
        </w:rPr>
        <w:t>Corporate notes</w:t>
      </w:r>
    </w:p>
    <w:p>
      <w:pPr>
        <w:spacing w:after="0" w:line="72"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The unrealized losses on corporate notes are a function of changes in investment spreads and interest rate movements and not changes in credit quality. The Company expects to recover the entire amortized cost basis of these securities. As of June 30, 2025 and December 31, 2024, the Company did not intend to sell these securities and it is not more-likely-than-not the Company would be required to sell these securities before recovery of their cost basis. Therefore, these investments did not require an ACL as of June 30, 2025 and December 31, 2024.</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summarize the maturities, at par, of marketable securities as of:</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68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5"/>
          </w:tcPr>
          <w:p>
            <w:pPr>
              <w:jc w:val="center"/>
              <w:ind w:left="389"/>
              <w:spacing w:after="0"/>
              <w:rPr>
                <w:sz w:val="20"/>
                <w:szCs w:val="20"/>
                <w:color w:val="auto"/>
              </w:rPr>
            </w:pPr>
            <w:r>
              <w:rPr>
                <w:rFonts w:ascii="Times New Roman" w:cs="Times New Roman" w:eastAsia="Times New Roman" w:hAnsi="Times New Roman"/>
                <w:sz w:val="14"/>
                <w:szCs w:val="14"/>
                <w:color w:val="auto"/>
                <w:w w:val="99"/>
              </w:rPr>
              <w:t>June 30, 2025</w:t>
            </w: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r>
        <w:trPr>
          <w:trHeight w:val="171"/>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99"/>
              </w:rPr>
              <w:t>2027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15,342</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notes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 notes</w:t>
            </w:r>
          </w:p>
        </w:tc>
        <w:tc>
          <w:tcPr>
            <w:tcW w:w="220" w:type="dxa"/>
            <w:vAlign w:val="bottom"/>
          </w:tcPr>
          <w:p>
            <w:pPr>
              <w:spacing w:after="0"/>
              <w:rPr>
                <w:sz w:val="15"/>
                <w:szCs w:val="15"/>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96"/>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9,366</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471"/>
        </w:trPr>
        <w:tc>
          <w:tcPr>
            <w:tcW w:w="6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4"/>
                <w:szCs w:val="14"/>
                <w:color w:val="auto"/>
                <w:w w:val="99"/>
              </w:rPr>
              <w:t>December 31, 2024</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1"/>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99"/>
              </w:rPr>
              <w:t>2027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13,752</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notes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71"/>
        </w:trPr>
        <w:tc>
          <w:tcPr>
            <w:tcW w:w="68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12,763</w:t>
            </w:r>
          </w:p>
        </w:tc>
        <w:tc>
          <w:tcPr>
            <w:tcW w:w="8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14,500</w:t>
            </w: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investments in corporate notes are with companies that have an investment grade rating from Standard &amp; Poor’s as of June 30, 2025 and December 31, 2024.</w:t>
      </w:r>
    </w:p>
    <w:p>
      <w:pPr>
        <w:spacing w:after="0" w:line="81" w:lineRule="exact"/>
        <w:rPr>
          <w:sz w:val="20"/>
          <w:szCs w:val="20"/>
          <w:color w:val="auto"/>
        </w:rPr>
      </w:pPr>
    </w:p>
    <w:p>
      <w:pPr>
        <w:ind w:left="280" w:hanging="275"/>
        <w:spacing w:after="0"/>
        <w:tabs>
          <w:tab w:leader="none" w:pos="28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REAL ESTATE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accumulated real estate development costs by project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June 30, 2025</w:t>
            </w:r>
          </w:p>
        </w:tc>
        <w:tc>
          <w:tcPr>
            <w:tcW w:w="340" w:type="dxa"/>
            <w:vAlign w:val="bottom"/>
          </w:tcPr>
          <w:p>
            <w:pPr>
              <w:spacing w:after="0"/>
              <w:rPr>
                <w:sz w:val="16"/>
                <w:szCs w:val="16"/>
                <w:color w:val="auto"/>
              </w:rPr>
            </w:pPr>
          </w:p>
        </w:tc>
        <w:tc>
          <w:tcPr>
            <w:tcW w:w="19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16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development</w:t>
            </w:r>
          </w:p>
        </w:tc>
        <w:tc>
          <w:tcPr>
            <w:tcW w:w="24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Mountain Village</w:t>
            </w:r>
          </w:p>
        </w:tc>
        <w:tc>
          <w:tcPr>
            <w:tcW w:w="288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158,348</w:t>
            </w: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Centennial</w:t>
            </w:r>
          </w:p>
        </w:tc>
        <w:tc>
          <w:tcPr>
            <w:tcW w:w="2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124,136</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Grapevine</w:t>
            </w:r>
          </w:p>
        </w:tc>
        <w:tc>
          <w:tcPr>
            <w:tcW w:w="2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42,456</w:t>
            </w: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2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Commercial</w:t>
            </w:r>
          </w:p>
        </w:tc>
        <w:tc>
          <w:tcPr>
            <w:tcW w:w="2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23,724</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 Residential</w:t>
            </w:r>
          </w:p>
        </w:tc>
        <w:tc>
          <w:tcPr>
            <w:tcW w:w="24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29,241</w:t>
            </w: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Tejon Ranch Commerce Center</w:t>
            </w:r>
          </w:p>
        </w:tc>
        <w:tc>
          <w:tcPr>
            <w:tcW w:w="24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52,965</w:t>
            </w: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development</w:t>
            </w:r>
          </w:p>
        </w:tc>
        <w:tc>
          <w:tcPr>
            <w:tcW w:w="246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384,035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377,905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w:t>
            </w:r>
          </w:p>
        </w:tc>
        <w:tc>
          <w:tcPr>
            <w:tcW w:w="2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2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Commercial</w:t>
            </w:r>
          </w:p>
        </w:tc>
        <w:tc>
          <w:tcPr>
            <w:tcW w:w="288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20,596</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Residential</w:t>
            </w:r>
          </w:p>
        </w:tc>
        <w:tc>
          <w:tcPr>
            <w:tcW w:w="24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Tejon Ranch Commerce Center</w:t>
            </w:r>
          </w:p>
        </w:tc>
        <w:tc>
          <w:tcPr>
            <w:tcW w:w="2460" w:type="dxa"/>
            <w:vAlign w:val="bottom"/>
          </w:tcPr>
          <w:p>
            <w:pPr>
              <w:spacing w:after="0"/>
              <w:rPr>
                <w:sz w:val="14"/>
                <w:szCs w:val="14"/>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45,413</w:t>
            </w:r>
          </w:p>
        </w:tc>
        <w:tc>
          <w:tcPr>
            <w:tcW w:w="10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20,596</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4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246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40,762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60" w:type="dxa"/>
            <w:vAlign w:val="bottom"/>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rPr>
              <w:t>13</w:t>
            </w: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42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3" w:name="page14"/>
    <w:bookmarkEnd w:id="13"/>
    <w:p>
      <w:pPr>
        <w:ind w:left="280" w:hanging="275"/>
        <w:spacing w:after="0"/>
        <w:tabs>
          <w:tab w:leader="none" w:pos="28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LONG-TERM WATER ASSETS</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Long-term water assets consist of water and water purchase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County Water Banks.</w:t>
      </w:r>
    </w:p>
    <w:p>
      <w:pPr>
        <w:spacing w:after="0" w:line="18"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The Company has secured SWP water purchase contracts from the Tulare Lake Basin Water Storage District and the Dudley-Ridge Water District, totaling 3,444 acre-feet of SWP water annually, subject to SWP allocations. These contracts extend through 2085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initial term of the water purchase agreement with Nickel runs to 2044 and includes a Company option to extend the contract for an additional 35 years. The purchase cost of water in 2025 is $986 per acre-foot. The purchase cost is subject to annual cost increases based on the greater of the Consumer Price Index or 3%.</w:t>
      </w:r>
    </w:p>
    <w:p>
      <w:pPr>
        <w:spacing w:after="0" w:line="1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4"/>
          <w:szCs w:val="14"/>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Water revenues and cost of sales were as follows for the six months ended ($ in thousands):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June 30, 2025</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June 30, 2024</w:t>
            </w:r>
          </w:p>
        </w:tc>
      </w:tr>
      <w:tr>
        <w:trPr>
          <w:trHeight w:val="17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Acre-Feet Sold</w:t>
            </w:r>
          </w:p>
        </w:tc>
        <w:tc>
          <w:tcPr>
            <w:tcW w:w="17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r>
      <w:tr>
        <w:trPr>
          <w:trHeight w:val="39"/>
        </w:trPr>
        <w:tc>
          <w:tcPr>
            <w:tcW w:w="65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740" w:type="dxa"/>
            <w:vAlign w:val="bottom"/>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7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w:t>
            </w: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Profit</w:t>
            </w:r>
          </w:p>
        </w:tc>
        <w:tc>
          <w:tcPr>
            <w:tcW w:w="1740" w:type="dxa"/>
            <w:vAlign w:val="bottom"/>
            <w:tcBorders>
              <w:bottom w:val="single" w:sz="8" w:color="auto"/>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assigned to water assets held for future use were as follows ($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June 30, 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Banked water and water for future delivery</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Transferable water</w:t>
            </w:r>
          </w:p>
        </w:tc>
        <w:tc>
          <w:tcPr>
            <w:tcW w:w="9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water held for future use at cost</w:t>
            </w:r>
          </w:p>
        </w:tc>
        <w:tc>
          <w:tcPr>
            <w:tcW w:w="9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47,152</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Water Assets</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2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Company’s carrying amounts of its purchased water contracts were as follows ($ in thousands):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6"/>
          </w:tcPr>
          <w:p>
            <w:pPr>
              <w:ind w:left="420"/>
              <w:spacing w:after="0"/>
              <w:rPr>
                <w:sz w:val="20"/>
                <w:szCs w:val="20"/>
                <w:color w:val="auto"/>
              </w:rPr>
            </w:pPr>
            <w:r>
              <w:rPr>
                <w:rFonts w:ascii="Times New Roman" w:cs="Times New Roman" w:eastAsia="Times New Roman" w:hAnsi="Times New Roman"/>
                <w:sz w:val="14"/>
                <w:szCs w:val="14"/>
                <w:color w:val="auto"/>
              </w:rPr>
              <w:t>June 30, 2025</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Costs</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Accumulated Depreciation</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Costs</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Accumulated Depreciation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Dudley-Ridge water purchase contract </w:t>
            </w:r>
            <w:r>
              <w:rPr>
                <w:rFonts w:ascii="Times New Roman" w:cs="Times New Roman" w:eastAsia="Times New Roman" w:hAnsi="Times New Roman"/>
                <w:sz w:val="18"/>
                <w:szCs w:val="18"/>
                <w:color w:val="auto"/>
                <w:vertAlign w:val="superscript"/>
              </w:rPr>
              <w:t>*</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Nickel water purchase contract </w:t>
            </w:r>
            <w:r>
              <w:rPr>
                <w:rFonts w:ascii="Times New Roman" w:cs="Times New Roman" w:eastAsia="Times New Roman" w:hAnsi="Times New Roman"/>
                <w:sz w:val="18"/>
                <w:szCs w:val="18"/>
                <w:color w:val="auto"/>
                <w:vertAlign w:val="superscript"/>
              </w:rPr>
              <w: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(7,496)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Tulare Lake Basin water purchase contract </w:t>
            </w:r>
            <w:r>
              <w:rPr>
                <w:rFonts w:ascii="Times New Roman" w:cs="Times New Roman" w:eastAsia="Times New Roman" w:hAnsi="Times New Roman"/>
                <w:sz w:val="18"/>
                <w:szCs w:val="18"/>
                <w:color w:val="auto"/>
                <w:vertAlign w:val="superscript"/>
              </w:rPr>
              <w:t>*</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(18,472)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cost of purchased water contracts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cost of water held for future use</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36,083</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investments in water assets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55,091</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1"/>
                <w:szCs w:val="11"/>
                <w:color w:val="auto"/>
              </w:rPr>
              <w:t>All water purchase contracts were acquired from third parties.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46" w:right="339" w:bottom="1440" w:gutter="0" w:footer="0" w:header="0"/>
        </w:sectPr>
      </w:pPr>
    </w:p>
    <w:bookmarkStart w:id="14" w:name="page15"/>
    <w:bookmarkEnd w:id="14"/>
    <w:p>
      <w:pPr>
        <w:ind w:right="80"/>
        <w:spacing w:after="0" w:line="271" w:lineRule="auto"/>
        <w:rPr>
          <w:sz w:val="20"/>
          <w:szCs w:val="20"/>
          <w:color w:val="auto"/>
        </w:rPr>
      </w:pPr>
      <w:r>
        <w:rPr>
          <w:rFonts w:ascii="Times New Roman" w:cs="Times New Roman" w:eastAsia="Times New Roman" w:hAnsi="Times New Roman"/>
          <w:sz w:val="14"/>
          <w:szCs w:val="14"/>
          <w:color w:val="auto"/>
        </w:rPr>
        <w:t>Water contracts with WRMWSD and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acre-feet, unaudited)</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color w:val="auto"/>
              </w:rPr>
              <w:t>June 30, 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16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Water held for future use</w:t>
            </w: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TCWD - Banked water owned by the Company</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60,936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Company water bank</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Transferable water</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Recharged water</w:t>
            </w: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water held for future use</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122,966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Purchased water contracts</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Water Contracts (Dudley-Ridge, Nickel and Tulare)</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WRMWSD - Contracts with the Company</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TCWD - Contracts with the Company</w:t>
            </w:r>
          </w:p>
        </w:tc>
        <w:tc>
          <w:tcPr>
            <w:tcW w:w="3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purchased water contracts</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water held for future use and purchased water contracts</w:t>
            </w:r>
          </w:p>
        </w:tc>
        <w:tc>
          <w:tcPr>
            <w:tcW w:w="3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161,218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154,399</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6.   ACCRUED LIABILITIES AND OTHER CURRENT 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 and other current liabilities consisted of the following:</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June 30, 2025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vacation</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paid personal leave</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bonus</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Accrued stock compensation expense</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00" w:hanging="60"/>
        <w:spacing w:after="0" w:line="197" w:lineRule="auto"/>
        <w:tabs>
          <w:tab w:leader="none" w:pos="100"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Cash settled awards classified as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-88265</wp:posOffset>
            </wp:positionV>
            <wp:extent cx="7134860" cy="100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00965"/>
                    </a:xfrm>
                    <a:prstGeom prst="rect">
                      <a:avLst/>
                    </a:prstGeom>
                    <a:noFill/>
                  </pic:spPr>
                </pic:pic>
              </a:graphicData>
            </a:graphic>
          </wp:anchor>
        </w:drawing>
      </w:r>
    </w:p>
    <w:p>
      <w:pPr>
        <w:spacing w:after="0" w:line="174" w:lineRule="exact"/>
        <w:rPr>
          <w:sz w:val="20"/>
          <w:szCs w:val="20"/>
          <w:color w:val="auto"/>
        </w:rPr>
      </w:pPr>
    </w:p>
    <w:p>
      <w:pPr>
        <w:ind w:right="8140" w:firstLine="5"/>
        <w:spacing w:after="0" w:line="389" w:lineRule="auto"/>
        <w:tabs>
          <w:tab w:leader="none" w:pos="283"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LINE OF CREDIT AND LONG-TERM DEBT </w:t>
      </w:r>
      <w:r>
        <w:rPr>
          <w:rFonts w:ascii="Times New Roman" w:cs="Times New Roman" w:eastAsia="Times New Roman" w:hAnsi="Times New Roman"/>
          <w:sz w:val="14"/>
          <w:szCs w:val="14"/>
          <w:color w:val="auto"/>
        </w:rPr>
        <w:t>Debt consisted of the following:</w:t>
      </w: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17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June 30, 2025</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0"/>
        </w:trPr>
        <w:tc>
          <w:tcPr>
            <w:tcW w:w="6480" w:type="dxa"/>
            <w:vAlign w:val="bottom"/>
          </w:tcPr>
          <w:p>
            <w:pPr>
              <w:spacing w:after="0" w:line="170" w:lineRule="exact"/>
              <w:rPr>
                <w:sz w:val="20"/>
                <w:szCs w:val="20"/>
                <w:color w:val="auto"/>
              </w:rPr>
            </w:pPr>
            <w:r>
              <w:rPr>
                <w:rFonts w:ascii="Times New Roman" w:cs="Times New Roman" w:eastAsia="Times New Roman" w:hAnsi="Times New Roman"/>
                <w:sz w:val="14"/>
                <w:szCs w:val="14"/>
                <w:color w:val="auto"/>
              </w:rPr>
              <w:t>Revolving line-of-credit</w:t>
            </w:r>
            <w:r>
              <w:rPr>
                <w:rFonts w:ascii="Times New Roman" w:cs="Times New Roman" w:eastAsia="Times New Roman" w:hAnsi="Times New Roman"/>
                <w:sz w:val="18"/>
                <w:szCs w:val="18"/>
                <w:color w:val="auto"/>
                <w:vertAlign w:val="superscript"/>
              </w:rPr>
              <w:t>1</w:t>
            </w:r>
          </w:p>
        </w:tc>
        <w:tc>
          <w:tcPr>
            <w:tcW w:w="1720" w:type="dxa"/>
            <w:vAlign w:val="bottom"/>
          </w:tcPr>
          <w:p>
            <w:pPr>
              <w:jc w:val="right"/>
              <w:ind w:right="15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81,942</w:t>
            </w:r>
          </w:p>
        </w:tc>
        <w:tc>
          <w:tcPr>
            <w:tcW w:w="10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34860" cy="121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ind w:left="100" w:hanging="60"/>
        <w:spacing w:after="0" w:line="197" w:lineRule="auto"/>
        <w:tabs>
          <w:tab w:leader="none" w:pos="100" w:val="left"/>
        </w:tabs>
        <w:numPr>
          <w:ilvl w:val="0"/>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Deferred loan costs for the revolving line-of-credit as of June 30, 2025 and December 31, 2024 were recorded under the caption "Other Assets" on the Consolidated Balance Sheets.</w:t>
      </w:r>
    </w:p>
    <w:p>
      <w:pPr>
        <w:spacing w:after="0" w:line="185"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14"/>
          <w:szCs w:val="14"/>
          <w:color w:val="auto"/>
        </w:rPr>
        <w:t>On November 17, 2023, the Company entered into a Credit Agreement with AgWest Farm Credit, PCA and certain other lenders (the Revolving Credit Facility). The Revolving Credit Facility provides TRC a RCL in the amount of $160,000,000. The RCL requires interest only payments and has a maturity date of January 1, 2029. As of June 30, 2025, the outstanding balance under the RCL was $81,942,000, and the interest rate was one-month term SOFR plus a margin of 2.25% for an effective rate of 6.60% before patronage, which for 2024 was 125 basis points, or bps, from AgWest and 100 bps from other participant lenders, for a net all-in rate of 5.44%.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5" w:name="page16"/>
    <w:bookmarkEnd w:id="15"/>
    <w:p>
      <w:pPr>
        <w:ind w:left="280" w:hanging="275"/>
        <w:spacing w:after="0"/>
        <w:tabs>
          <w:tab w:leader="none" w:pos="28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liabilities consisted of the following: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20" w:type="dxa"/>
            <w:vAlign w:val="bottom"/>
          </w:tcPr>
          <w:p>
            <w:pPr>
              <w:spacing w:after="0"/>
              <w:rPr>
                <w:sz w:val="16"/>
                <w:szCs w:val="16"/>
                <w:color w:val="auto"/>
              </w:rPr>
            </w:pPr>
          </w:p>
        </w:tc>
        <w:tc>
          <w:tcPr>
            <w:tcW w:w="19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June 30, 2025</w:t>
            </w:r>
          </w:p>
        </w:tc>
        <w:tc>
          <w:tcPr>
            <w:tcW w:w="340" w:type="dxa"/>
            <w:vAlign w:val="bottom"/>
          </w:tcPr>
          <w:p>
            <w:pPr>
              <w:spacing w:after="0"/>
              <w:rPr>
                <w:sz w:val="16"/>
                <w:szCs w:val="16"/>
                <w:color w:val="auto"/>
              </w:rPr>
            </w:pPr>
          </w:p>
        </w:tc>
        <w:tc>
          <w:tcPr>
            <w:tcW w:w="19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executive retirement plan liability (See Note 12)</w:t>
            </w: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Excess joint venture distributions and other (See Note 14)</w:t>
            </w: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9,078</w:t>
            </w:r>
          </w:p>
        </w:tc>
      </w:tr>
      <w:tr>
        <w:trPr>
          <w:trHeight w:val="196"/>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280" w:hanging="275"/>
        <w:spacing w:after="0"/>
        <w:tabs>
          <w:tab w:leader="none" w:pos="28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 COMPENSATION - RESTRICTED STOCK AND PERFORMANCE SHARE GRANTS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the grant date fair value for market-based awards is determined using a </w:t>
      </w:r>
      <w:r>
        <w:rPr>
          <w:rFonts w:ascii="Times New Roman" w:cs="Times New Roman" w:eastAsia="Times New Roman" w:hAnsi="Times New Roman"/>
          <w:sz w:val="14"/>
          <w:szCs w:val="14"/>
          <w:i w:val="1"/>
          <w:iCs w:val="1"/>
          <w:color w:val="auto"/>
        </w:rPr>
        <w:t>Monte Carlo</w:t>
      </w:r>
      <w:r>
        <w:rPr>
          <w:rFonts w:ascii="Times New Roman" w:cs="Times New Roman" w:eastAsia="Times New Roman" w:hAnsi="Times New Roman"/>
          <w:sz w:val="14"/>
          <w:szCs w:val="14"/>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Company’s Performance Condition Grants outstanding as of June 30, 2025:</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60" w:type="dxa"/>
            <w:vAlign w:val="bottom"/>
            <w:tcBorders>
              <w:bottom w:val="single" w:sz="8" w:color="auto"/>
            </w:tcBorders>
          </w:tcPr>
          <w:p>
            <w:pPr>
              <w:spacing w:after="0"/>
              <w:rPr>
                <w:sz w:val="16"/>
                <w:szCs w:val="16"/>
                <w:color w:val="auto"/>
              </w:rPr>
            </w:pPr>
          </w:p>
        </w:tc>
        <w:tc>
          <w:tcPr>
            <w:tcW w:w="8180" w:type="dxa"/>
            <w:vAlign w:val="bottom"/>
            <w:tcBorders>
              <w:bottom w:val="single" w:sz="8" w:color="auto"/>
            </w:tcBorders>
          </w:tcPr>
          <w:p>
            <w:pPr>
              <w:jc w:val="right"/>
              <w:ind w:right="4669"/>
              <w:spacing w:after="0"/>
              <w:rPr>
                <w:sz w:val="20"/>
                <w:szCs w:val="20"/>
                <w:color w:val="auto"/>
              </w:rPr>
            </w:pPr>
            <w:r>
              <w:rPr>
                <w:rFonts w:ascii="Times New Roman" w:cs="Times New Roman" w:eastAsia="Times New Roman" w:hAnsi="Times New Roman"/>
                <w:sz w:val="14"/>
                <w:szCs w:val="14"/>
                <w:color w:val="auto"/>
              </w:rPr>
              <w:t>Performance Condition Grants</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Target performance</w:t>
            </w:r>
          </w:p>
        </w:tc>
        <w:tc>
          <w:tcPr>
            <w:tcW w:w="8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299,626</w:t>
            </w:r>
          </w:p>
        </w:tc>
      </w:tr>
      <w:tr>
        <w:trPr>
          <w:trHeight w:val="184"/>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Maximum performance</w:t>
            </w:r>
          </w:p>
        </w:tc>
        <w:tc>
          <w:tcPr>
            <w:tcW w:w="8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388,836</w:t>
            </w: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Company’s stock grant activity, both time and performance unit grants, assuming target achievement for outstanding performance grants for the six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402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June 30, 2025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grants outstanding beginning of period at target achievement</w:t>
            </w:r>
          </w:p>
        </w:tc>
        <w:tc>
          <w:tcPr>
            <w:tcW w:w="4020" w:type="dxa"/>
            <w:vAlign w:val="bottom"/>
            <w:shd w:val="clear" w:color="auto" w:fill="CCEEFF"/>
          </w:tcPr>
          <w:p>
            <w:pPr>
              <w:spacing w:after="0"/>
              <w:rPr>
                <w:sz w:val="14"/>
                <w:szCs w:val="14"/>
                <w:color w:val="auto"/>
              </w:rPr>
            </w:pPr>
          </w:p>
        </w:tc>
        <w:tc>
          <w:tcPr>
            <w:tcW w:w="238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312,564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New stock grants/additional shares due to achievement in excess of target</w:t>
            </w:r>
          </w:p>
        </w:tc>
        <w:tc>
          <w:tcPr>
            <w:tcW w:w="6400" w:type="dxa"/>
            <w:vAlign w:val="bottom"/>
            <w:gridSpan w:val="2"/>
          </w:tcPr>
          <w:p>
            <w:pPr>
              <w:ind w:left="5880"/>
              <w:spacing w:after="0"/>
              <w:rPr>
                <w:sz w:val="20"/>
                <w:szCs w:val="20"/>
                <w:color w:val="auto"/>
              </w:rPr>
            </w:pPr>
            <w:r>
              <w:rPr>
                <w:rFonts w:ascii="Times New Roman" w:cs="Times New Roman" w:eastAsia="Times New Roman" w:hAnsi="Times New Roman"/>
                <w:sz w:val="14"/>
                <w:szCs w:val="14"/>
                <w:color w:val="auto"/>
              </w:rPr>
              <w:t>170,925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grants</w:t>
            </w:r>
          </w:p>
        </w:tc>
        <w:tc>
          <w:tcPr>
            <w:tcW w:w="6400" w:type="dxa"/>
            <w:vAlign w:val="bottom"/>
            <w:gridSpan w:val="2"/>
            <w:shd w:val="clear" w:color="auto" w:fill="CCEEFF"/>
          </w:tcPr>
          <w:p>
            <w:pPr>
              <w:ind w:left="5880"/>
              <w:spacing w:after="0"/>
              <w:rPr>
                <w:sz w:val="20"/>
                <w:szCs w:val="20"/>
                <w:color w:val="auto"/>
              </w:rPr>
            </w:pPr>
            <w:r>
              <w:rPr>
                <w:rFonts w:ascii="Times New Roman" w:cs="Times New Roman" w:eastAsia="Times New Roman" w:hAnsi="Times New Roman"/>
                <w:sz w:val="14"/>
                <w:szCs w:val="14"/>
                <w:color w:val="auto"/>
              </w:rPr>
              <w:t>(25,012)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Expired/forfeited grants</w:t>
            </w:r>
          </w:p>
        </w:tc>
        <w:tc>
          <w:tcPr>
            <w:tcW w:w="6400" w:type="dxa"/>
            <w:vAlign w:val="bottom"/>
            <w:gridSpan w:val="2"/>
          </w:tcPr>
          <w:p>
            <w:pPr>
              <w:ind w:left="5880"/>
              <w:spacing w:after="0"/>
              <w:rPr>
                <w:sz w:val="20"/>
                <w:szCs w:val="20"/>
                <w:color w:val="auto"/>
              </w:rPr>
            </w:pPr>
            <w:r>
              <w:rPr>
                <w:rFonts w:ascii="Times New Roman" w:cs="Times New Roman" w:eastAsia="Times New Roman" w:hAnsi="Times New Roman"/>
                <w:sz w:val="14"/>
                <w:szCs w:val="14"/>
                <w:color w:val="auto"/>
              </w:rPr>
              <w:t>(10,966)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grants outstanding end of period at target achievement</w:t>
            </w:r>
          </w:p>
        </w:tc>
        <w:tc>
          <w:tcPr>
            <w:tcW w:w="4020" w:type="dxa"/>
            <w:vAlign w:val="bottom"/>
            <w:tcBorders>
              <w:top w:val="single" w:sz="8" w:color="CCEEFF"/>
              <w:bottom w:val="single" w:sz="8" w:color="CCEEFF"/>
            </w:tcBorders>
            <w:shd w:val="clear" w:color="auto" w:fill="CCEEFF"/>
          </w:tcPr>
          <w:p>
            <w:pPr>
              <w:spacing w:after="0"/>
              <w:rPr>
                <w:sz w:val="16"/>
                <w:szCs w:val="16"/>
                <w:color w:val="auto"/>
              </w:rPr>
            </w:pPr>
          </w:p>
        </w:tc>
        <w:tc>
          <w:tcPr>
            <w:tcW w:w="2380" w:type="dxa"/>
            <w:vAlign w:val="bottom"/>
            <w:tcBorders>
              <w:top w:val="single" w:sz="8" w:color="auto"/>
              <w:bottom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447,511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3109"/>
              <w:spacing w:after="0"/>
              <w:rPr>
                <w:sz w:val="20"/>
                <w:szCs w:val="20"/>
                <w:color w:val="auto"/>
              </w:rPr>
            </w:pPr>
            <w:r>
              <w:rPr>
                <w:rFonts w:ascii="Times New Roman" w:cs="Times New Roman" w:eastAsia="Times New Roman" w:hAnsi="Times New Roman"/>
                <w:sz w:val="14"/>
                <w:szCs w:val="14"/>
                <w:color w:val="auto"/>
              </w:rPr>
              <w:t>16</w:t>
            </w: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860" w:type="dxa"/>
            <w:vAlign w:val="bottom"/>
            <w:tcBorders>
              <w:bottom w:val="single" w:sz="8" w:color="9A9A9A"/>
            </w:tcBorders>
          </w:tcPr>
          <w:p>
            <w:pPr>
              <w:spacing w:after="0"/>
              <w:rPr>
                <w:sz w:val="7"/>
                <w:szCs w:val="7"/>
                <w:color w:val="auto"/>
              </w:rPr>
            </w:pPr>
          </w:p>
        </w:tc>
        <w:tc>
          <w:tcPr>
            <w:tcW w:w="402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The following is a summary of the assumptions used to determine the fair value for the Company’s outstanding market-based Performance Condition Grants as of June 30, 2025: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 except for share prices)</w:t>
            </w:r>
          </w:p>
        </w:tc>
        <w:tc>
          <w:tcPr>
            <w:tcW w:w="1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1"/>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 date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12/14/2022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06/16/2023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08/21/2023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12/16/2023</w:t>
            </w:r>
          </w:p>
        </w:tc>
        <w:tc>
          <w:tcPr>
            <w:tcW w:w="80" w:type="dxa"/>
            <w:vAlign w:val="bottom"/>
            <w:shd w:val="clear" w:color="auto" w:fill="CCEEFF"/>
          </w:tcPr>
          <w:p>
            <w:pPr>
              <w:spacing w:after="0"/>
              <w:rPr>
                <w:sz w:val="15"/>
                <w:szCs w:val="15"/>
                <w:color w:val="auto"/>
              </w:rPr>
            </w:pPr>
          </w:p>
        </w:tc>
      </w:tr>
      <w:tr>
        <w:trPr>
          <w:trHeight w:val="18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Vesting end</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12/14/2025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12/31/2026</w:t>
            </w:r>
          </w:p>
        </w:tc>
        <w:tc>
          <w:tcPr>
            <w:tcW w:w="80" w:type="dxa"/>
            <w:vAlign w:val="bottom"/>
          </w:tcPr>
          <w:p>
            <w:pPr>
              <w:spacing w:after="0"/>
              <w:rPr>
                <w:sz w:val="15"/>
                <w:szCs w:val="15"/>
                <w:color w:val="auto"/>
              </w:rPr>
            </w:pPr>
          </w:p>
        </w:tc>
      </w:tr>
      <w:tr>
        <w:trPr>
          <w:trHeight w:val="18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Target share price to achieve award</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$21.99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$20.72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$19.20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$19.65</w:t>
            </w:r>
          </w:p>
        </w:tc>
        <w:tc>
          <w:tcPr>
            <w:tcW w:w="80" w:type="dxa"/>
            <w:vAlign w:val="bottom"/>
            <w:shd w:val="clear" w:color="auto" w:fill="CCEEFF"/>
          </w:tcPr>
          <w:p>
            <w:pPr>
              <w:spacing w:after="0"/>
              <w:rPr>
                <w:sz w:val="15"/>
                <w:szCs w:val="15"/>
                <w:color w:val="auto"/>
              </w:rPr>
            </w:pPr>
          </w:p>
        </w:tc>
      </w:tr>
      <w:tr>
        <w:trPr>
          <w:trHeight w:val="212"/>
        </w:trPr>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32.14%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26.58%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25.55%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25.91%</w:t>
            </w:r>
          </w:p>
        </w:tc>
        <w:tc>
          <w:tcPr>
            <w:tcW w:w="80" w:type="dxa"/>
            <w:vAlign w:val="bottom"/>
            <w:shd w:val="clear" w:color="auto" w:fill="CCEEFF"/>
          </w:tcPr>
          <w:p>
            <w:pPr>
              <w:spacing w:after="0"/>
              <w:rPr>
                <w:sz w:val="15"/>
                <w:szCs w:val="15"/>
                <w:color w:val="auto"/>
              </w:rPr>
            </w:pPr>
          </w:p>
        </w:tc>
      </w:tr>
      <w:tr>
        <w:trPr>
          <w:trHeight w:val="18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4.02%</w:t>
            </w:r>
          </w:p>
        </w:tc>
        <w:tc>
          <w:tcPr>
            <w:tcW w:w="80" w:type="dxa"/>
            <w:vAlign w:val="bottom"/>
          </w:tcPr>
          <w:p>
            <w:pPr>
              <w:spacing w:after="0"/>
              <w:rPr>
                <w:sz w:val="15"/>
                <w:szCs w:val="15"/>
                <w:color w:val="auto"/>
              </w:rPr>
            </w:pPr>
          </w:p>
        </w:tc>
      </w:tr>
      <w:tr>
        <w:trPr>
          <w:trHeight w:val="212"/>
        </w:trPr>
        <w:tc>
          <w:tcPr>
            <w:tcW w:w="3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Simulated Monte Carlo share price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$17.88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$19.74</w:t>
            </w:r>
          </w:p>
        </w:tc>
        <w:tc>
          <w:tcPr>
            <w:tcW w:w="80" w:type="dxa"/>
            <w:vAlign w:val="bottom"/>
          </w:tcPr>
          <w:p>
            <w:pPr>
              <w:spacing w:after="0"/>
              <w:rPr>
                <w:sz w:val="15"/>
                <w:szCs w:val="15"/>
                <w:color w:val="auto"/>
              </w:rPr>
            </w:pPr>
          </w:p>
        </w:tc>
      </w:tr>
      <w:tr>
        <w:trPr>
          <w:trHeight w:val="18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granted</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4,613</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9,515</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1,650</w:t>
            </w: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4,828</w:t>
            </w:r>
          </w:p>
        </w:tc>
        <w:tc>
          <w:tcPr>
            <w:tcW w:w="80" w:type="dxa"/>
            <w:vAlign w:val="bottom"/>
            <w:tcBorders>
              <w:bottom w:val="single" w:sz="8" w:color="auto"/>
            </w:tcBorders>
            <w:shd w:val="clear" w:color="auto" w:fill="CCEEFF"/>
          </w:tcPr>
          <w:p>
            <w:pPr>
              <w:spacing w:after="0"/>
              <w:rPr>
                <w:sz w:val="15"/>
                <w:szCs w:val="15"/>
                <w:color w:val="auto"/>
              </w:rPr>
            </w:pPr>
          </w:p>
        </w:tc>
      </w:tr>
      <w:tr>
        <w:trPr>
          <w:trHeight w:val="17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fair value of award</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5"/>
              </w:rPr>
              <w:t>$95</w:t>
            </w:r>
          </w:p>
        </w:tc>
        <w:tc>
          <w:tcPr>
            <w:tcW w:w="80" w:type="dxa"/>
            <w:vAlign w:val="bottom"/>
          </w:tcPr>
          <w:p>
            <w:pPr>
              <w:spacing w:after="0"/>
              <w:rPr>
                <w:sz w:val="15"/>
                <w:szCs w:val="15"/>
                <w:color w:val="auto"/>
              </w:rPr>
            </w:pPr>
          </w:p>
        </w:tc>
      </w:tr>
      <w:tr>
        <w:trPr>
          <w:trHeight w:val="46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 except for share prices)</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1"/>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 date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03/13/2024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12/11/2024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03/06/2025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06/20/2025</w:t>
            </w:r>
          </w:p>
        </w:tc>
        <w:tc>
          <w:tcPr>
            <w:tcW w:w="80" w:type="dxa"/>
            <w:vAlign w:val="bottom"/>
            <w:shd w:val="clear" w:color="auto" w:fill="CCEEFF"/>
          </w:tcPr>
          <w:p>
            <w:pPr>
              <w:spacing w:after="0"/>
              <w:rPr>
                <w:sz w:val="15"/>
                <w:szCs w:val="15"/>
                <w:color w:val="auto"/>
              </w:rPr>
            </w:pPr>
          </w:p>
        </w:tc>
      </w:tr>
      <w:tr>
        <w:trPr>
          <w:trHeight w:val="18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Vesting end</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03/22/2027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12/10/2027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03/06/2028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06/20/2028</w:t>
            </w:r>
          </w:p>
        </w:tc>
        <w:tc>
          <w:tcPr>
            <w:tcW w:w="80" w:type="dxa"/>
            <w:vAlign w:val="bottom"/>
          </w:tcPr>
          <w:p>
            <w:pPr>
              <w:spacing w:after="0"/>
              <w:rPr>
                <w:sz w:val="15"/>
                <w:szCs w:val="15"/>
                <w:color w:val="auto"/>
              </w:rPr>
            </w:pPr>
          </w:p>
        </w:tc>
      </w:tr>
      <w:tr>
        <w:trPr>
          <w:trHeight w:val="18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price at target achievement</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$18.93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$18.59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$18.56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$19.01</w:t>
            </w:r>
          </w:p>
        </w:tc>
        <w:tc>
          <w:tcPr>
            <w:tcW w:w="80" w:type="dxa"/>
            <w:vAlign w:val="bottom"/>
            <w:shd w:val="clear" w:color="auto" w:fill="CCEEFF"/>
          </w:tcPr>
          <w:p>
            <w:pPr>
              <w:spacing w:after="0"/>
              <w:rPr>
                <w:sz w:val="15"/>
                <w:szCs w:val="15"/>
                <w:color w:val="auto"/>
              </w:rPr>
            </w:pPr>
          </w:p>
        </w:tc>
      </w:tr>
      <w:tr>
        <w:trPr>
          <w:trHeight w:val="212"/>
        </w:trPr>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25.56%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26.90%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27.04%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26.82%</w:t>
            </w:r>
          </w:p>
        </w:tc>
        <w:tc>
          <w:tcPr>
            <w:tcW w:w="80" w:type="dxa"/>
            <w:vAlign w:val="bottom"/>
            <w:shd w:val="clear" w:color="auto" w:fill="CCEEFF"/>
          </w:tcPr>
          <w:p>
            <w:pPr>
              <w:spacing w:after="0"/>
              <w:rPr>
                <w:sz w:val="15"/>
                <w:szCs w:val="15"/>
                <w:color w:val="auto"/>
              </w:rPr>
            </w:pPr>
          </w:p>
        </w:tc>
      </w:tr>
      <w:tr>
        <w:trPr>
          <w:trHeight w:val="18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5"/>
                <w:szCs w:val="15"/>
                <w:color w:val="auto"/>
              </w:rPr>
            </w:pPr>
          </w:p>
        </w:tc>
      </w:tr>
      <w:tr>
        <w:trPr>
          <w:trHeight w:val="212"/>
        </w:trPr>
        <w:tc>
          <w:tcPr>
            <w:tcW w:w="3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Simulated Monte Carlo share price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$18.36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$18.55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$13.54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$18.53</w:t>
            </w:r>
          </w:p>
        </w:tc>
        <w:tc>
          <w:tcPr>
            <w:tcW w:w="80" w:type="dxa"/>
            <w:vAlign w:val="bottom"/>
          </w:tcPr>
          <w:p>
            <w:pPr>
              <w:spacing w:after="0"/>
              <w:rPr>
                <w:sz w:val="15"/>
                <w:szCs w:val="15"/>
                <w:color w:val="auto"/>
              </w:rPr>
            </w:pPr>
          </w:p>
        </w:tc>
      </w:tr>
      <w:tr>
        <w:trPr>
          <w:trHeight w:val="18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granted</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15,225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2,315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13,046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18,351</w:t>
            </w:r>
          </w:p>
        </w:tc>
        <w:tc>
          <w:tcPr>
            <w:tcW w:w="80" w:type="dxa"/>
            <w:vAlign w:val="bottom"/>
            <w:shd w:val="clear" w:color="auto" w:fill="CCEEFF"/>
          </w:tcPr>
          <w:p>
            <w:pPr>
              <w:spacing w:after="0"/>
              <w:rPr>
                <w:sz w:val="15"/>
                <w:szCs w:val="15"/>
                <w:color w:val="auto"/>
              </w:rPr>
            </w:pPr>
          </w:p>
        </w:tc>
      </w:t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fair value of award</w:t>
            </w:r>
          </w:p>
        </w:tc>
        <w:tc>
          <w:tcPr>
            <w:tcW w:w="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$43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$177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w w:val="99"/>
              </w:rPr>
              <w:t>$340</w:t>
            </w:r>
          </w:p>
        </w:tc>
        <w:tc>
          <w:tcPr>
            <w:tcW w:w="80" w:type="dxa"/>
            <w:vAlign w:val="bottom"/>
          </w:tcPr>
          <w:p>
            <w:pPr>
              <w:spacing w:after="0"/>
              <w:rPr>
                <w:sz w:val="15"/>
                <w:szCs w:val="15"/>
                <w:color w:val="auto"/>
              </w:rPr>
            </w:pPr>
          </w:p>
        </w:tc>
      </w:tr>
    </w:tbl>
    <w:p>
      <w:pPr>
        <w:spacing w:after="0" w:line="236"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4"/>
          <w:szCs w:val="14"/>
          <w:color w:val="auto"/>
        </w:rPr>
        <w:t>The unamortized cost associated with unvested stock grants and the weighted average period over which it is expected to be recognized as of June 30, 2025 were $3,456,000 and 19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and is expensed over the performance period if it is probable that the award will vest. This fair value is expensed over the service period applicable to these grants. For performance grants that contain a range of shares from zero to maximum, the Company determines, based on historic and projected results, the probability of (1) achieving the performance objective, and (2) the level of achievement. Based on this information, the Company determines the number of awards probable of vesting and expenses the grant date fair value of such awards over the service period related to these grants. Because the ultimate vesting of all performance grants is tied to the achievement of a performance condition, the Company estimates whether the performance condition will be met and over what period of time. Ultimately, the Company adjusts compensation cost according to the actual outcome of the performance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2023 Stock Incentive Plan, each non-employee director, during the years presented, received all or a portion of his or her annual compensation in stock.</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7" w:name="page18"/>
    <w:bookmarkEnd w:id="17"/>
    <w:p>
      <w:pPr>
        <w:spacing w:after="0" w:line="271" w:lineRule="auto"/>
        <w:rPr>
          <w:sz w:val="20"/>
          <w:szCs w:val="20"/>
          <w:color w:val="auto"/>
        </w:rPr>
      </w:pPr>
      <w:r>
        <w:rPr>
          <w:rFonts w:ascii="Times New Roman" w:cs="Times New Roman" w:eastAsia="Times New Roman" w:hAnsi="Times New Roman"/>
          <w:sz w:val="14"/>
          <w:szCs w:val="14"/>
          <w:color w:val="auto"/>
        </w:rPr>
        <w:t>The following table summarizes stock compensation costs for the Company's 2023 Stock Incentive Plan, 1998 Stock Incentive Plan, and the prior Non-Employee Director Stock Incentive Plan for the following periods: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4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June 30,</w:t>
            </w:r>
          </w:p>
        </w:tc>
        <w:tc>
          <w:tcPr>
            <w:tcW w:w="1240" w:type="dxa"/>
            <w:vAlign w:val="bottom"/>
            <w:tcBorders>
              <w:bottom w:val="single" w:sz="8" w:color="auto"/>
            </w:tcBorders>
          </w:tcPr>
          <w:p>
            <w:pPr>
              <w:spacing w:after="0"/>
              <w:rPr>
                <w:sz w:val="16"/>
                <w:szCs w:val="16"/>
                <w:color w:val="auto"/>
              </w:rPr>
            </w:pPr>
          </w:p>
        </w:tc>
      </w:tr>
      <w:tr>
        <w:trPr>
          <w:trHeight w:val="171"/>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Employee</w:t>
            </w: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Expensed</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r>
      <w:tr>
        <w:trPr>
          <w:trHeight w:val="180"/>
        </w:trPr>
        <w:tc>
          <w:tcPr>
            <w:tcW w:w="7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Capitalized</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171"/>
        </w:trPr>
        <w:tc>
          <w:tcPr>
            <w:tcW w:w="7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r>
      <w:tr>
        <w:trPr>
          <w:trHeight w:val="180"/>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Director</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96"/>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 compensation costs</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360" w:hanging="355"/>
        <w:spacing w:after="0"/>
        <w:tabs>
          <w:tab w:leader="none" w:pos="36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4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each respective reporting period. However, the Company utilized a discrete effective tax rate method, as allowed by ASC 740-270 “Income Taxes—Interim Reporting,” to calculate taxes for this interim reporting period (the six months ended June 30, 2025). The Company made this choice because it determined that the historical method would not provide a reliable estimate for tax expense for the six months ended June 30, 2025 due to uncertainty in estimating annual pretax earnings.</w:t>
      </w:r>
    </w:p>
    <w:p>
      <w:pPr>
        <w:spacing w:after="0" w:line="16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For the six months ended June 30, 2025, the Company’s income tax benefit was $837,000 compared to income tax benefit of $2,118,000 for the six months ended June 30, 2024. Effective tax rates were 21% and 102% for the six months ended June 30, 2025 and 2024, respectively. As of June 30, 2025, the Company had income tax receivables of $2,435,000. The Company classifies interest and penalties incurred on tax payments as income tax expense.</w:t>
      </w:r>
    </w:p>
    <w:p>
      <w:pPr>
        <w:spacing w:after="0" w:line="157"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On July 4, 2025, the One Big Beautiful Bill Act was signed into law in the U.S., which contains a broad range of tax reform provisions affecting businesses. We are evaluating the full effects of the legislation on our estimated annual effective tax rate and cash tax position, but we expect that the legislation will likely not have a material impact on our financial statements. As the legislation was signed into law after the close of our second quarter, the impacts are not included in our operating results for the six months ended June 30, 2025.</w:t>
      </w:r>
    </w:p>
    <w:p>
      <w:pPr>
        <w:spacing w:after="0" w:line="91" w:lineRule="exact"/>
        <w:rPr>
          <w:sz w:val="20"/>
          <w:szCs w:val="20"/>
          <w:color w:val="auto"/>
        </w:rPr>
      </w:pPr>
    </w:p>
    <w:p>
      <w:pPr>
        <w:ind w:right="8220" w:firstLine="5"/>
        <w:spacing w:after="0" w:line="365" w:lineRule="auto"/>
        <w:tabs>
          <w:tab w:leader="none" w:pos="346"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Water Contracts</w:t>
      </w: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has secured water contracts that are encumbered by the Company's land. These water contracts require minimum annual payments, for which $10,038,000 was paid during the six months ended June 30, 2025. These water contract payments consist of SWP contracts with WRMWSD, TCWD, Tulare Lake Basin, Dudley-Ridge, and the Nickel water contract. The SWP contracts run through 2085, and the Nickel water contract runs through 2044, with an option to extend an additional 35 years. The Company's contractual obligation for future water payments was $1,462,769,000 as of June 30,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Contracts</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determined until the future payment dates. As of June 30, 2025, the Company believes the net savings resulting from exiting the contract during this future time period will more than offset the incentive payment costs.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Community Facilities Districts</w:t>
      </w:r>
    </w:p>
    <w:p>
      <w:pPr>
        <w:spacing w:after="0" w:line="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$95,660,000 of outstanding bond debt sold by TRPFFA for TRCC-East. At TRCC-West, the West CFD has no additional bond debt approved for issuance. At TRCC-East, the East CFD has approximately $18,605,000 of additional bond debt authorized by TRPFFA that can be sold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8" w:name="page19"/>
    <w:bookmarkEnd w:id="18"/>
    <w:p>
      <w:pPr>
        <w:spacing w:after="0" w:line="257" w:lineRule="auto"/>
        <w:rPr>
          <w:sz w:val="20"/>
          <w:szCs w:val="20"/>
          <w:color w:val="auto"/>
        </w:rPr>
      </w:pPr>
      <w:r>
        <w:rPr>
          <w:rFonts w:ascii="Times New Roman" w:cs="Times New Roman" w:eastAsia="Times New Roman" w:hAnsi="Times New Roman"/>
          <w:sz w:val="14"/>
          <w:szCs w:val="14"/>
          <w:color w:val="auto"/>
        </w:rPr>
        <w:t>As a landowner in each CFD, the Company is obligated to pay its share of the special taxes assessed each year. The secured lands include both the TRCC-West and TRCC-East developments. Proceeds from the sale of West CFD bonds went to reimburse the Company for public infrastructure costs related to the TRCC-West development. As of June 30, 2025, there were no additional improvement funds remaining from the West CFD bonds. On July 25, 2024, TRPFFA sold bonds that provide approximately $25,000,000 of improvement funds for the reimbursement of public infrastructure costs at TRCC-East. As of June 30, 2025, there are $19,849,000 of additional improvement funds remaining within the East CFD bonds for reimbursement of public infrastructure costs during future years. During fiscal year 2025, the Company expects to pay approximately $3,642,000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assessed value of the property at the time of sale or on its assessed value at the time it is leased to a third-party. Accordingly, the Company was not required to recognize an obligation on June 30,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Centennial</w:t>
      </w:r>
    </w:p>
    <w:p>
      <w:pPr>
        <w:spacing w:after="0" w:line="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EIR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CBD and the CNPS filed an action in Los Angeles County Superior Court (the CBD/CNPS Action) against LA County; like the Climate Resolve Action, the CBD/CNPS Action also challenges the Centennial Approvals. The Company, its wholly owned subsidiary Tejon Ranchcorp, and CFL are named as real parties-in-interest in both the Climate Resolve Action and the CBD/CNPS Action.</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Climate Resolve Action and the CBD/CNPS Action collectively allege that LA County failed to properly follow the procedures and requirements of CEQA and the California Planning and Zoning Law. The Climate Resolve Action and the CBD/CNPS Action were deemed “related” and, while not consolidated under court rules or the rules of civil procedure, the Los Angeles Superior Court judge (Superior Court or Court) trying both cases determined during early trial management conferences to hold one set of hearings and issue one ruling on the matters as part of the adjudication. The Climate Resolve Action and CBD/CNPS Action sought to invalidate the Centennial Approvals and require LA County to revise the environmental documentation related to the Centennial project.</w:t>
      </w:r>
    </w:p>
    <w:p>
      <w:pPr>
        <w:spacing w:after="0" w:line="3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On April 5, 2021, following three hearings,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its case based on the Court's conclusions in the Climate Resolve Action (“Motion for Reconsideration”).</w:t>
      </w:r>
    </w:p>
    <w:p>
      <w:pPr>
        <w:spacing w:after="0" w:line="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On November 30, 2021, the Company, together with Ranchcorp and CFL, entered into a Settlement Agreement with Climate Resolve. Pursuant to the Settlement Agreement, the Company has agreed as stated and obligated in the Settlement Agreement: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Court. On January 14, 2022, the Court heard CBD/CNPS' Motion for Reconsideration and issued its decision granting CBD/CNPS prevailing party status based on the Court’s conclusions in the Climate Resolve Action.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9" w:name="page20"/>
    <w:bookmarkEnd w:id="19"/>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On October 26, 2022, the Court held a hearing concerning the entry of final judgement and awarding of appropriate remedies, at which time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 setting of remedies at a February 17, 2023 hearing date.</w:t>
      </w:r>
    </w:p>
    <w:p>
      <w:pPr>
        <w:spacing w:after="0" w:line="30"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At the December 14, 2022 hearing, the Court denied the Company’s Motion for Reconsideration. At the February 17, 2023 hearing, the Court took into submission the Parties’ legal briefs and oral arguments. On March 22, 2023, the Court decided in favor of CBD/CNPS and signed CBD/CNPS’s proposed form of judgment, which included a full rescission of the Centennial project approvals previously issued by Los Angeles County.</w:t>
      </w:r>
    </w:p>
    <w:p>
      <w:pPr>
        <w:spacing w:after="0" w:line="4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May 26, 2023, the Company filed a Notice of Appeal with the Superior Court, thereby appealing the Superior Court’s decision to the Second District of the California Court of Appeal (Court of Appeal). On June 27, 2023, CBD/CNPS cross-appealed the Superior Court’s ruling. The Court of Appeal held a hearing on April 3, 2025 for this matter. On June 26, 2025, the Court of Appeal issued a written decision affirming the Superior Court’s decision in full. In doing so, the Court of Appeal upheld the Superior Court determinations that (i) the CBD/CNPS Action claims related to wildlife connectivity, perennial grassland and wildflower impacts, and project alternatives were without merit, (ii) California’s Cap-and-Trade Program cannot be used as a compliance pathway for mitigating GHG impacts for the Centennial project and, therefore, further ruled that additional analysis is required related to all feasible mitigation of GHG impacts, (iii) additional analysis and explanation are required of how wildland fire risk on lands outside of the Centennial project site, posed by on-site ignition sources, is mitigated to less than significant, (iv) the Centennial Approvals be rescinded and Centennial EIR decertified pending correction of the EIR for the issues described above, and (v) CBD/CNPS were prevailing parties. The Court of Appeal also indicated that the EIR should discuss wildfire risks associated with the Project’s offsite improvements (such as offsite utility and natural gas lines). The Company is in the process of working with LA County to advance the Centennial project.</w:t>
      </w:r>
    </w:p>
    <w:p>
      <w:pPr>
        <w:spacing w:after="0" w:line="51" w:lineRule="exact"/>
        <w:rPr>
          <w:sz w:val="20"/>
          <w:szCs w:val="20"/>
          <w:color w:val="auto"/>
        </w:rPr>
      </w:pPr>
    </w:p>
    <w:p>
      <w:pPr>
        <w:ind w:right="2160"/>
        <w:spacing w:after="0" w:line="355" w:lineRule="auto"/>
        <w:rPr>
          <w:sz w:val="20"/>
          <w:szCs w:val="20"/>
          <w:color w:val="auto"/>
        </w:rPr>
      </w:pPr>
      <w:r>
        <w:rPr>
          <w:rFonts w:ascii="Times New Roman" w:cs="Times New Roman" w:eastAsia="Times New Roman" w:hAnsi="Times New Roman"/>
          <w:sz w:val="14"/>
          <w:szCs w:val="14"/>
          <w:color w:val="auto"/>
        </w:rPr>
        <w:t xml:space="preserve">As the Company’s options to reinstate the project approvals remain pending, the monetary value of any adverse decision, if any, cannot be estimated at this time. </w:t>
      </w:r>
      <w:r>
        <w:rPr>
          <w:rFonts w:ascii="Times New Roman" w:cs="Times New Roman" w:eastAsia="Times New Roman" w:hAnsi="Times New Roman"/>
          <w:sz w:val="14"/>
          <w:szCs w:val="14"/>
          <w:i w:val="1"/>
          <w:iCs w:val="1"/>
          <w:color w:val="auto"/>
        </w:rPr>
        <w:t>Proceedings Incidental to Business</w:t>
      </w:r>
    </w:p>
    <w:p>
      <w:pPr>
        <w:spacing w:after="0" w:line="1"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29"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outcome of these other proceedings is not predictable. However, based on current circumstances, the Company believes that the ultimate resolution of these other proceedings will not have a material adverse effect on the Company’s financial position, results of operations or cash flows, either individually or in the aggregate.</w:t>
      </w:r>
    </w:p>
    <w:p>
      <w:pPr>
        <w:spacing w:after="0" w:line="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RETIREMENT PLANS</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does not expect to make contributions to the Benefit Plan in 2025.</w:t>
      </w:r>
    </w:p>
    <w:p>
      <w:pPr>
        <w:spacing w:after="0" w:line="4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both June 30, 2025 and December 31, 2024, the investment mixes were approximately at 99% debt and 1% money market funds. The weighted-average discount rate used in determining the periodic pension cost is 5.60% in 2025 and 4.85% in 2024. The expected long-term rate of return on plan assets is 5.00% for both fiscal 2025 and 2024. The long-term rate of return on Benefit Plan assets is based on the historical returns within the plan and expectations for future returns.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Total pension and retirement expense for the Benefit Plan was as follows:</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5"/>
        </w:trPr>
        <w:tc>
          <w:tcPr>
            <w:tcW w:w="73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June 30,</w:t>
            </w:r>
          </w:p>
        </w:tc>
        <w:tc>
          <w:tcPr>
            <w:tcW w:w="1120" w:type="dxa"/>
            <w:vAlign w:val="bottom"/>
            <w:tcBorders>
              <w:bottom w:val="single" w:sz="8" w:color="auto"/>
            </w:tcBorders>
          </w:tcPr>
          <w:p>
            <w:pPr>
              <w:spacing w:after="0"/>
              <w:rPr>
                <w:sz w:val="23"/>
                <w:szCs w:val="23"/>
                <w:color w:val="auto"/>
              </w:rPr>
            </w:pPr>
          </w:p>
        </w:tc>
      </w:tr>
      <w:tr>
        <w:trPr>
          <w:trHeight w:val="17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2024</w:t>
            </w:r>
          </w:p>
        </w:tc>
      </w:tr>
      <w:tr>
        <w:trPr>
          <w:trHeight w:val="160"/>
        </w:trPr>
        <w:tc>
          <w:tcPr>
            <w:tcW w:w="7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(Cost)/earnings components:</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0"/>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180"/>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180"/>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amortization and deferral</w:t>
            </w: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periodic pension cost</w:t>
            </w: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
        </w:trPr>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In April 2017, the Company froze the SERP plan as it relates to the accrual of additional benefits.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The pension and retirement expense for the SERP was as follows:</w:t>
            </w:r>
          </w:p>
        </w:tc>
        <w:tc>
          <w:tcPr>
            <w:tcW w:w="2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6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June 30,</w:t>
            </w: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7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6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components:</w:t>
            </w:r>
          </w:p>
        </w:tc>
        <w:tc>
          <w:tcPr>
            <w:tcW w:w="2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316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0"/>
        </w:trPr>
        <w:tc>
          <w:tcPr>
            <w:tcW w:w="4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amortization and other</w:t>
            </w:r>
          </w:p>
        </w:tc>
        <w:tc>
          <w:tcPr>
            <w:tcW w:w="27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periodic pension cost</w:t>
            </w:r>
          </w:p>
        </w:tc>
        <w:tc>
          <w:tcPr>
            <w:tcW w:w="2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1569"/>
              <w:spacing w:after="0"/>
              <w:rPr>
                <w:sz w:val="20"/>
                <w:szCs w:val="20"/>
                <w:color w:val="auto"/>
              </w:rPr>
            </w:pPr>
            <w:r>
              <w:rPr>
                <w:rFonts w:ascii="Times New Roman" w:cs="Times New Roman" w:eastAsia="Times New Roman" w:hAnsi="Times New Roman"/>
                <w:sz w:val="14"/>
                <w:szCs w:val="14"/>
                <w:color w:val="auto"/>
              </w:rPr>
              <w:t>21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6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6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1" w:name="page22"/>
    <w:bookmarkEnd w:id="21"/>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REPORTING SEGMENTS AND RELATED INFORMATION</w:t>
      </w:r>
    </w:p>
    <w:p>
      <w:pPr>
        <w:spacing w:after="0" w:line="8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 currently operates five reporting segments: commercial/industrial real estate development, resort/residential real estate development, mineral resources, farming, and ranch operations. The financial results of these segments are utilized by the chief operating decision maker, or CODM, who is our Chief Executive Officer, for evaluating segment performance and allocating resources. The CODM uses GAAP operating results predominantly in the annual budgeting and forecasting process. The CODM considers budget-to-actual variances on a monthly basis for GAAP operating results when making decisions about allocating capital and personnel to the segments.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Information pertaining to operating results of the Company's reporting segments are as follows for each of the period end: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80" w:type="dxa"/>
            <w:vAlign w:val="bottom"/>
          </w:tcPr>
          <w:p>
            <w:pPr>
              <w:spacing w:after="0"/>
              <w:rPr>
                <w:sz w:val="17"/>
                <w:szCs w:val="17"/>
                <w:color w:val="auto"/>
              </w:rPr>
            </w:pPr>
          </w:p>
        </w:tc>
        <w:tc>
          <w:tcPr>
            <w:tcW w:w="2880" w:type="dxa"/>
            <w:vAlign w:val="bottom"/>
            <w:gridSpan w:val="4"/>
          </w:tcPr>
          <w:p>
            <w:pPr>
              <w:jc w:val="right"/>
              <w:ind w:right="769"/>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8"/>
              </w:rPr>
              <w:t>Revenues</w:t>
            </w:r>
          </w:p>
        </w:tc>
        <w:tc>
          <w:tcPr>
            <w:tcW w:w="4080" w:type="dxa"/>
            <w:vAlign w:val="bottom"/>
            <w:gridSpan w:val="2"/>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Farming</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shd w:val="clear" w:color="auto" w:fill="CCEEFF"/>
          </w:tcPr>
          <w:p>
            <w:pPr>
              <w:spacing w:after="0"/>
              <w:rPr>
                <w:sz w:val="14"/>
                <w:szCs w:val="14"/>
                <w:color w:val="auto"/>
              </w:rPr>
            </w:pPr>
          </w:p>
        </w:tc>
        <w:tc>
          <w:tcPr>
            <w:tcW w:w="4660" w:type="dxa"/>
            <w:vAlign w:val="bottom"/>
            <w:tcBorders>
              <w:bottom w:val="single" w:sz="8" w:color="CCEEFF"/>
            </w:tcBorders>
            <w:gridSpan w:val="3"/>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Segment revenues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8,307</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5,689</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16,516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13,095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60" w:type="dxa"/>
            <w:vAlign w:val="bottom"/>
            <w:tcBorders>
              <w:top w:val="single" w:sz="8" w:color="CCEEFF"/>
              <w:bottom w:val="single" w:sz="8" w:color="CCEEFF"/>
            </w:tcBorders>
            <w:gridSpan w:val="3"/>
            <w:vMerge w:val="restart"/>
          </w:tcPr>
          <w:p>
            <w:pPr>
              <w:spacing w:after="0" w:line="130" w:lineRule="exact"/>
              <w:rPr>
                <w:sz w:val="20"/>
                <w:szCs w:val="20"/>
                <w:color w:val="auto"/>
              </w:rPr>
            </w:pPr>
            <w:r>
              <w:rPr>
                <w:rFonts w:ascii="Times New Roman" w:cs="Times New Roman" w:eastAsia="Times New Roman" w:hAnsi="Times New Roman"/>
                <w:sz w:val="14"/>
                <w:szCs w:val="14"/>
                <w:b w:val="1"/>
                <w:bCs w:val="1"/>
                <w:color w:val="auto"/>
              </w:rPr>
              <w:t>Segment Operating Results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vMerge w:val="continue"/>
          </w:tcPr>
          <w:p>
            <w:pPr>
              <w:spacing w:after="0"/>
              <w:rPr>
                <w:sz w:val="7"/>
                <w:szCs w:val="7"/>
                <w:color w:val="auto"/>
              </w:rPr>
            </w:pPr>
          </w:p>
        </w:tc>
        <w:tc>
          <w:tcPr>
            <w:tcW w:w="46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Farming</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660" w:type="dxa"/>
            <w:vAlign w:val="bottom"/>
            <w:tcBorders>
              <w:bottom w:val="single" w:sz="8" w:color="CCEEFF"/>
            </w:tcBorders>
            <w:gridSpan w:val="3"/>
          </w:tcPr>
          <w:p>
            <w:pPr>
              <w:ind w:left="100"/>
              <w:spacing w:after="0" w:line="171" w:lineRule="exact"/>
              <w:rPr>
                <w:sz w:val="20"/>
                <w:szCs w:val="20"/>
                <w:color w:val="auto"/>
              </w:rPr>
            </w:pPr>
            <w:r>
              <w:rPr>
                <w:rFonts w:ascii="Times New Roman" w:cs="Times New Roman" w:eastAsia="Times New Roman" w:hAnsi="Times New Roman"/>
                <w:sz w:val="14"/>
                <w:szCs w:val="14"/>
                <w:color w:val="auto"/>
              </w:rPr>
              <w:t xml:space="preserve">Segment operating results </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Reconciling items: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Investment income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loss, net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66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Corporate expenses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(4,900)</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6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80" w:hanging="61"/>
        <w:spacing w:after="0"/>
        <w:tabs>
          <w:tab w:leader="none" w:pos="80" w:val="left"/>
        </w:tabs>
        <w:numPr>
          <w:ilvl w:val="0"/>
          <w:numId w:val="1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Segment operating results are comprised of revenues and equity in earnings of unconsolidated joint ventures, less segment expenses, excluding investment income, other income (loss), corporate expenses, and income taxes.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Commercial/Industrial Development</w:t>
      </w:r>
    </w:p>
    <w:p>
      <w:pPr>
        <w:spacing w:after="0" w:line="11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Revenues from the Commercial/Industrial Real Estate Development segment primarily consist of rental income derived from land and/or building leases to commercial and industrial tenants, including multifamily units at Terra Vista. This segment also includes variable income such as percentage rents from the PEF power plant lease, rents from communication tower leases, land sales, and payments received from easement agreements. Refer to Note 14 (Investment in Unconsolidated and Consolidated Joint Ventures) for discussion of unconsolidated joint ventures.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The following table summarizes revenues, expenses and operating income from this segment for the periods ended: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8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5,495</w:t>
            </w:r>
          </w:p>
        </w:tc>
      </w:tr>
      <w:tr>
        <w:trPr>
          <w:trHeight w:val="180"/>
        </w:trPr>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Equity in earnings of unconsolidated joint ventures</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4,282</w:t>
            </w:r>
          </w:p>
        </w:tc>
      </w:tr>
      <w:tr>
        <w:trPr>
          <w:trHeight w:val="118"/>
        </w:trPr>
        <w:tc>
          <w:tcPr>
            <w:tcW w:w="46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Commercial/industrial revenues and equity in earnings of unconsolidated joint</w:t>
            </w:r>
          </w:p>
        </w:tc>
        <w:tc>
          <w:tcPr>
            <w:tcW w:w="3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9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ventures</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7,662</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9,777</w:t>
            </w:r>
          </w:p>
        </w:tc>
      </w:tr>
      <w:tr>
        <w:trPr>
          <w:trHeight w:val="180"/>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 of land</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r>
      <w:tr>
        <w:trPr>
          <w:trHeight w:val="180"/>
        </w:trPr>
        <w:tc>
          <w:tcPr>
            <w:tcW w:w="46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General and administrative expenses </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w:t>
            </w:r>
          </w:p>
        </w:tc>
      </w:tr>
      <w:tr>
        <w:trPr>
          <w:trHeight w:val="180"/>
        </w:trPr>
        <w:tc>
          <w:tcPr>
            <w:tcW w:w="46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expenses </w:t>
            </w:r>
            <w:r>
              <w:rPr>
                <w:rFonts w:ascii="Times New Roman" w:cs="Times New Roman" w:eastAsia="Times New Roman" w:hAnsi="Times New Roman"/>
                <w:sz w:val="18"/>
                <w:szCs w:val="18"/>
                <w:color w:val="auto"/>
                <w:vertAlign w:val="superscript"/>
              </w:rPr>
              <w:t>2</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7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Commercial/industrial expenses</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3,917</w:t>
            </w:r>
          </w:p>
        </w:tc>
      </w:tr>
      <w:tr>
        <w:trPr>
          <w:trHeight w:val="17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results from commercial/industrial and unconsolidated joint ventures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80" w:type="dxa"/>
            <w:vAlign w:val="bottom"/>
          </w:tcPr>
          <w:p>
            <w:pPr>
              <w:spacing w:after="0"/>
              <w:rPr>
                <w:sz w:val="15"/>
                <w:szCs w:val="15"/>
                <w:color w:val="auto"/>
              </w:rPr>
            </w:pPr>
          </w:p>
        </w:tc>
        <w:tc>
          <w:tcPr>
            <w:tcW w:w="110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61530"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80" w:hanging="61"/>
        <w:spacing w:after="0" w:line="219" w:lineRule="auto"/>
        <w:tabs>
          <w:tab w:leader="none" w:pos="80" w:val="left"/>
        </w:tabs>
        <w:numPr>
          <w:ilvl w:val="0"/>
          <w:numId w:val="1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General and administrative expenses included compensation expense and overhead.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-81280</wp:posOffset>
            </wp:positionV>
            <wp:extent cx="424434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44340" cy="6985"/>
                    </a:xfrm>
                    <a:prstGeom prst="rect">
                      <a:avLst/>
                    </a:prstGeom>
                    <a:noFill/>
                  </pic:spPr>
                </pic:pic>
              </a:graphicData>
            </a:graphic>
          </wp:anchor>
        </w:drawing>
      </w:r>
    </w:p>
    <w:p>
      <w:pPr>
        <w:ind w:left="80" w:hanging="61"/>
        <w:spacing w:after="0" w:line="221" w:lineRule="auto"/>
        <w:tabs>
          <w:tab w:leader="none" w:pos="80"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main components of the other expenses included tenant recoverable expenses and depreciation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61530" cy="1009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Resort/Residential Development</w:t>
      </w:r>
    </w:p>
    <w:p>
      <w:pPr>
        <w:spacing w:after="0" w:line="12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$304,000 and $427,000 for the three months ended June 30, 2025 and 2024, respectively. The expenses consisted of general and administrative expenses of $278,000, professional services of $15,000, and other expenses of $11,000 for the three months ended June 30, 2025. The prior period expenses consisted of general and administrative expenses of $394,000, professional services of $22,000, and other expenses of $11,000 for the three months ended June 30, 2024.</w:t>
      </w:r>
    </w:p>
    <w:p>
      <w:pPr>
        <w:spacing w:after="0" w:line="15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4"/>
          <w:szCs w:val="14"/>
          <w:color w:val="auto"/>
        </w:rPr>
        <w:t>The segment generated losses of $690,000 and $1,988,000 for the six months ended June 30, 2025 and 2024, respectively. The expenses consisted of general and administrative expenses of $630,000, professional services of $36,000, and other expenses of $24,000 for the six months ended June 30, 2024. The main components of the other expenses included travel and entertainment expenses, and depreciation expenses. The prior period expenses consisted of general and administrative expenses of $669,000, professional services of $1,296,000, and other expenses of $23,000 for the six months ended June 30,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Mineral Resources</w:t>
      </w:r>
    </w:p>
    <w:p>
      <w:pPr>
        <w:spacing w:after="0" w:line="11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229"/>
              <w:spacing w:after="0"/>
              <w:rPr>
                <w:sz w:val="20"/>
                <w:szCs w:val="20"/>
                <w:color w:val="auto"/>
              </w:rPr>
            </w:pPr>
            <w:r>
              <w:rPr>
                <w:rFonts w:ascii="Times New Roman" w:cs="Times New Roman" w:eastAsia="Times New Roman" w:hAnsi="Times New Roman"/>
                <w:sz w:val="14"/>
                <w:szCs w:val="14"/>
                <w:color w:val="auto"/>
              </w:rPr>
              <w:t>Six Months Ended June 30,</w:t>
            </w:r>
          </w:p>
        </w:tc>
        <w:tc>
          <w:tcPr>
            <w:tcW w:w="500" w:type="dxa"/>
            <w:vAlign w:val="bottom"/>
            <w:tcBorders>
              <w:bottom w:val="single" w:sz="8" w:color="auto"/>
            </w:tcBorders>
          </w:tcPr>
          <w:p>
            <w:pPr>
              <w:spacing w:after="0"/>
              <w:rPr>
                <w:sz w:val="16"/>
                <w:szCs w:val="16"/>
                <w:color w:val="auto"/>
              </w:rPr>
            </w:pPr>
          </w:p>
        </w:tc>
      </w:tr>
      <w:tr>
        <w:trPr>
          <w:trHeight w:val="171"/>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4"/>
                <w:szCs w:val="14"/>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w:t>
            </w:r>
          </w:p>
        </w:tc>
      </w:tr>
      <w:tr>
        <w:trPr>
          <w:trHeight w:val="171"/>
        </w:trPr>
        <w:tc>
          <w:tcPr>
            <w:tcW w:w="4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 of water</w:t>
            </w: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r>
      <w:tr>
        <w:trPr>
          <w:trHeight w:val="180"/>
        </w:trPr>
        <w:tc>
          <w:tcPr>
            <w:tcW w:w="48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Other expenses</w:t>
            </w:r>
            <w:r>
              <w:rPr>
                <w:rFonts w:ascii="Times New Roman" w:cs="Times New Roman" w:eastAsia="Times New Roman" w:hAnsi="Times New Roman"/>
                <w:sz w:val="18"/>
                <w:szCs w:val="18"/>
                <w:color w:val="auto"/>
                <w:vertAlign w:val="superscript"/>
              </w:rPr>
              <w:t>1</w:t>
            </w:r>
          </w:p>
        </w:tc>
        <w:tc>
          <w:tcPr>
            <w:tcW w:w="10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w:t>
            </w:r>
          </w:p>
        </w:tc>
      </w:tr>
      <w:tr>
        <w:trPr>
          <w:trHeight w:val="17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Mineral resources expenses</w:t>
            </w: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w:t>
            </w:r>
          </w:p>
        </w:tc>
      </w:tr>
      <w:tr>
        <w:trPr>
          <w:trHeight w:val="19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results from mineral resources</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6"/>
                <w:szCs w:val="16"/>
                <w:color w:val="auto"/>
              </w:rPr>
            </w:pP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6"/>
                <w:szCs w:val="16"/>
                <w:color w:val="auto"/>
              </w:rPr>
            </w:pP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6"/>
                <w:szCs w:val="16"/>
                <w:color w:val="auto"/>
              </w:rPr>
            </w:pP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6153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80" w:hanging="61"/>
        <w:spacing w:after="0" w:line="197" w:lineRule="auto"/>
        <w:tabs>
          <w:tab w:leader="none" w:pos="80"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main components of the other expenses included general and administrative expenses and depreciation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-81280</wp:posOffset>
            </wp:positionV>
            <wp:extent cx="406273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62730" cy="69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Farming</w:t>
      </w:r>
    </w:p>
    <w:p>
      <w:pPr>
        <w:spacing w:after="0" w:line="7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Farming segment revenues include the sale of almonds, pistachios, wine grapes, and hay. The following table summarizes revenues, expenses and operating results from this segment for the periods ended: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209"/>
              <w:spacing w:after="0"/>
              <w:rPr>
                <w:sz w:val="20"/>
                <w:szCs w:val="20"/>
                <w:color w:val="auto"/>
              </w:rPr>
            </w:pPr>
            <w:r>
              <w:rPr>
                <w:rFonts w:ascii="Times New Roman" w:cs="Times New Roman" w:eastAsia="Times New Roman" w:hAnsi="Times New Roman"/>
                <w:sz w:val="14"/>
                <w:szCs w:val="14"/>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71"/>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Borders>
              <w:bottom w:val="single" w:sz="8" w:color="auto"/>
            </w:tcBorders>
          </w:tcPr>
          <w:p>
            <w:pPr>
              <w:spacing w:after="0"/>
              <w:rPr>
                <w:sz w:val="14"/>
                <w:szCs w:val="14"/>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Farming revenues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171"/>
        </w:trPr>
        <w:tc>
          <w:tcPr>
            <w:tcW w:w="4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r>
      <w:tr>
        <w:trPr>
          <w:trHeight w:val="180"/>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Water holding costs</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r>
      <w:tr>
        <w:trPr>
          <w:trHeight w:val="180"/>
        </w:trPr>
        <w:tc>
          <w:tcPr>
            <w:tcW w:w="488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Other expenses</w:t>
            </w:r>
            <w:r>
              <w:rPr>
                <w:rFonts w:ascii="Times New Roman" w:cs="Times New Roman" w:eastAsia="Times New Roman" w:hAnsi="Times New Roman"/>
                <w:sz w:val="18"/>
                <w:szCs w:val="18"/>
                <w:color w:val="auto"/>
                <w:vertAlign w:val="superscript"/>
              </w:rPr>
              <w:t>1</w:t>
            </w: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Farming expenses</w:t>
            </w: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w:t>
            </w:r>
          </w:p>
        </w:tc>
      </w:tr>
      <w:tr>
        <w:trPr>
          <w:trHeight w:val="17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results from farming</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Pr>
          <w:p>
            <w:pPr>
              <w:spacing w:after="0"/>
              <w:rPr>
                <w:sz w:val="15"/>
                <w:szCs w:val="15"/>
                <w:color w:val="auto"/>
              </w:rPr>
            </w:pP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tcPr>
          <w:p>
            <w:pPr>
              <w:spacing w:after="0"/>
              <w:rPr>
                <w:sz w:val="15"/>
                <w:szCs w:val="15"/>
                <w:color w:val="auto"/>
              </w:rPr>
            </w:pPr>
          </w:p>
        </w:tc>
        <w:tc>
          <w:tcPr>
            <w:tcW w:w="100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5"/>
                <w:szCs w:val="15"/>
                <w:color w:val="auto"/>
              </w:rPr>
            </w:pPr>
          </w:p>
        </w:tc>
        <w:tc>
          <w:tcPr>
            <w:tcW w:w="100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-1905</wp:posOffset>
            </wp:positionV>
            <wp:extent cx="40627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6273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The main components of the other expenses included general and administrative expenses and depreciation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161530" cy="100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color w:val="auto"/>
        </w:rPr>
        <w:t>Ranch Operations</w:t>
      </w:r>
    </w:p>
    <w:p>
      <w:pPr>
        <w:spacing w:after="0" w:line="74"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4"/>
          <w:szCs w:val="14"/>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229"/>
              <w:spacing w:after="0"/>
              <w:rPr>
                <w:sz w:val="20"/>
                <w:szCs w:val="20"/>
                <w:color w:val="auto"/>
              </w:rPr>
            </w:pPr>
            <w:r>
              <w:rPr>
                <w:rFonts w:ascii="Times New Roman" w:cs="Times New Roman" w:eastAsia="Times New Roman" w:hAnsi="Times New Roman"/>
                <w:sz w:val="14"/>
                <w:szCs w:val="14"/>
                <w:color w:val="auto"/>
              </w:rPr>
              <w:t>Six Months Ended June 30,</w:t>
            </w:r>
          </w:p>
        </w:tc>
        <w:tc>
          <w:tcPr>
            <w:tcW w:w="500" w:type="dxa"/>
            <w:vAlign w:val="bottom"/>
            <w:tcBorders>
              <w:bottom w:val="single" w:sz="8" w:color="auto"/>
            </w:tcBorders>
          </w:tcPr>
          <w:p>
            <w:pPr>
              <w:spacing w:after="0"/>
              <w:rPr>
                <w:sz w:val="16"/>
                <w:szCs w:val="16"/>
                <w:color w:val="auto"/>
              </w:rPr>
            </w:pPr>
          </w:p>
        </w:tc>
      </w:tr>
      <w:tr>
        <w:trPr>
          <w:trHeight w:val="171"/>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4"/>
                <w:szCs w:val="14"/>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w:t>
            </w:r>
          </w:p>
        </w:tc>
      </w:tr>
      <w:tr>
        <w:trPr>
          <w:trHeight w:val="171"/>
        </w:trPr>
        <w:tc>
          <w:tcPr>
            <w:tcW w:w="4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r>
      <w:tr>
        <w:trPr>
          <w:trHeight w:val="180"/>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 expense</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r>
      <w:tr>
        <w:trPr>
          <w:trHeight w:val="180"/>
        </w:trPr>
        <w:tc>
          <w:tcPr>
            <w:tcW w:w="488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Other expenses</w:t>
            </w:r>
            <w:r>
              <w:rPr>
                <w:rFonts w:ascii="Times New Roman" w:cs="Times New Roman" w:eastAsia="Times New Roman" w:hAnsi="Times New Roman"/>
                <w:sz w:val="18"/>
                <w:szCs w:val="18"/>
                <w:color w:val="auto"/>
                <w:vertAlign w:val="superscript"/>
              </w:rPr>
              <w:t>1</w:t>
            </w: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Ranch operations expenses</w:t>
            </w: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w:t>
            </w:r>
          </w:p>
        </w:tc>
      </w:tr>
      <w:tr>
        <w:trPr>
          <w:trHeight w:val="17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results from ranch operations</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15"/>
                <w:szCs w:val="15"/>
                <w:color w:val="auto"/>
              </w:rPr>
            </w:pP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5"/>
                <w:szCs w:val="15"/>
                <w:color w:val="auto"/>
              </w:rPr>
            </w:pP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5"/>
                <w:szCs w:val="15"/>
                <w:color w:val="auto"/>
              </w:rPr>
            </w:pP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-1905</wp:posOffset>
            </wp:positionV>
            <wp:extent cx="40627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6273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7"/>
          <w:szCs w:val="7"/>
          <w:color w:val="auto"/>
        </w:rPr>
        <w:t xml:space="preserve">1 </w:t>
      </w:r>
      <w:r>
        <w:rPr>
          <w:rFonts w:ascii="Times New Roman" w:cs="Times New Roman" w:eastAsia="Times New Roman" w:hAnsi="Times New Roman"/>
          <w:sz w:val="11"/>
          <w:szCs w:val="11"/>
          <w:color w:val="auto"/>
        </w:rPr>
        <w:t>The main components of the other expenses included amortization and depreciation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009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Information pertaining to identifiable assets of the Company’s reporting segments is as follows for the periods ended:</w:t>
            </w: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Identifiable Assets</w:t>
            </w:r>
          </w:p>
        </w:tc>
        <w:tc>
          <w:tcPr>
            <w:tcW w:w="340" w:type="dxa"/>
            <w:vAlign w:val="bottom"/>
          </w:tcPr>
          <w:p>
            <w:pPr>
              <w:spacing w:after="0"/>
              <w:rPr>
                <w:sz w:val="24"/>
                <w:szCs w:val="24"/>
                <w:color w:val="auto"/>
              </w:rPr>
            </w:pPr>
          </w:p>
        </w:tc>
        <w:tc>
          <w:tcPr>
            <w:tcW w:w="1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June 30, 2025</w:t>
            </w:r>
          </w:p>
        </w:tc>
        <w:tc>
          <w:tcPr>
            <w:tcW w:w="240" w:type="dxa"/>
            <w:vAlign w:val="bottom"/>
          </w:tcPr>
          <w:p>
            <w:pPr>
              <w:spacing w:after="0"/>
              <w:rPr>
                <w:sz w:val="24"/>
                <w:szCs w:val="24"/>
                <w:color w:val="auto"/>
              </w:rPr>
            </w:pPr>
          </w:p>
        </w:tc>
        <w:tc>
          <w:tcPr>
            <w:tcW w:w="168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6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7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98,185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3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330,513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Farming</w:t>
            </w:r>
          </w:p>
        </w:tc>
        <w:tc>
          <w:tcPr>
            <w:tcW w:w="3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54,478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Corporate</w:t>
            </w: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67,506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618,541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Identifiable assets by segment include both assets directly identified with those operations and an allocable share of jointly used assets. Corporate assets consist primarily of cash and cash equivalents, marketable securities, deferred income taxes, and land and buildings. Land is valued at cost for acquisitions since 1936. Land acquired in 1936, upon organization of the Company, is stated on the basis carried by the Company’s predecessor.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76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Information pertaining to depreciation and amortization of the Company’s reporting segments is as follows for the periods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Depreciation and Amortization</w:t>
            </w:r>
          </w:p>
        </w:tc>
        <w:tc>
          <w:tcPr>
            <w:tcW w:w="2700" w:type="dxa"/>
            <w:vAlign w:val="bottom"/>
            <w:gridSpan w:val="4"/>
          </w:tcPr>
          <w:p>
            <w:pPr>
              <w:jc w:val="right"/>
              <w:ind w:right="20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4"/>
          </w:tcPr>
          <w:p>
            <w:pPr>
              <w:jc w:val="right"/>
              <w:ind w:right="729"/>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1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vMerge w:val="continue"/>
          </w:tcPr>
          <w:p>
            <w:pPr>
              <w:spacing w:after="0"/>
              <w:rPr>
                <w:sz w:val="14"/>
                <w:szCs w:val="14"/>
                <w:color w:val="auto"/>
              </w:rPr>
            </w:pPr>
          </w:p>
        </w:tc>
        <w:tc>
          <w:tcPr>
            <w:tcW w:w="312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Farming</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Corporate</w:t>
            </w: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pertaining to capital expenditures of the Company’s reporting segments is as follows for the periods ended: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8"/>
              </w:rPr>
              <w:t>Capital Expenditures</w:t>
            </w:r>
          </w:p>
        </w:tc>
        <w:tc>
          <w:tcPr>
            <w:tcW w:w="3680" w:type="dxa"/>
            <w:vAlign w:val="bottom"/>
          </w:tcPr>
          <w:p>
            <w:pPr>
              <w:spacing w:after="0"/>
              <w:rPr>
                <w:sz w:val="13"/>
                <w:szCs w:val="13"/>
                <w:color w:val="auto"/>
              </w:rPr>
            </w:pPr>
          </w:p>
        </w:tc>
        <w:tc>
          <w:tcPr>
            <w:tcW w:w="262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0" w:type="dxa"/>
            <w:vAlign w:val="bottom"/>
            <w:gridSpan w:val="4"/>
          </w:tcPr>
          <w:p>
            <w:pPr>
              <w:jc w:val="right"/>
              <w:ind w:right="729"/>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4880" w:type="dxa"/>
            <w:vAlign w:val="bottom"/>
            <w:tcBorders>
              <w:bottom w:val="single" w:sz="8" w:color="CCEEFF"/>
            </w:tcBorders>
            <w:gridSpan w:val="2"/>
            <w:vMerge w:val="continue"/>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Farming</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Corporate</w:t>
            </w: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19,602</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INVESTMENT IN UNCONSOLIDATED AND CONSOLIDATED JOINT VENTURES</w:t>
      </w:r>
    </w:p>
    <w:p>
      <w:pPr>
        <w:spacing w:after="0" w:line="13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June 30, 2025 was $31,264,000. The equity in the income of unconsolidated joint ventures was $3,713,000 for the six months ended June 30, 2025. The unconsolidated joint ventures have not been consolidated as of June 30, 2025, because the Company does not control the investments. The Company’s current joint ventures are as follows:</w:t>
      </w:r>
    </w:p>
    <w:p>
      <w:pPr>
        <w:spacing w:after="0" w:line="98" w:lineRule="exact"/>
        <w:rPr>
          <w:sz w:val="20"/>
          <w:szCs w:val="20"/>
          <w:color w:val="auto"/>
        </w:rPr>
      </w:pPr>
    </w:p>
    <w:p>
      <w:pPr>
        <w:ind w:left="360" w:hanging="260"/>
        <w:spacing w:after="0" w:line="261" w:lineRule="auto"/>
        <w:tabs>
          <w:tab w:leader="none" w:pos="3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The Company's investment in this joint venture was $22,447,000 as of June 30,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6" w:name="page27"/>
    <w:bookmarkEnd w:id="26"/>
    <w:p>
      <w:pPr>
        <w:ind w:left="355" w:right="80" w:hanging="260"/>
        <w:spacing w:after="0" w:line="258" w:lineRule="auto"/>
        <w:tabs>
          <w:tab w:leader="none" w:pos="35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Majestic Realty Co. – Majestic Realty Co., or Majestic, is a privately-held developer and owner of master planned business parks the United States. The Company partnered with Majestic to form five active 50/50 joint ventures to acquire, develop, manage, and operate industrial real estate at TRCC. The partners have equal voting rights and equally share in the profit and loss of each joint venture. All outstanding debt attributed to our joint ventures with Majestic have met their respective debt covenants, and hence were not subject to an effective guarantee at June 30, 2025. For those investments in a deficit position,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51" w:lineRule="exact"/>
        <w:rPr>
          <w:rFonts w:ascii="Times New Roman" w:cs="Times New Roman" w:eastAsia="Times New Roman" w:hAnsi="Times New Roman"/>
          <w:sz w:val="14"/>
          <w:szCs w:val="14"/>
          <w:color w:val="auto"/>
        </w:rPr>
      </w:pPr>
    </w:p>
    <w:p>
      <w:pPr>
        <w:ind w:left="755" w:right="140" w:hanging="246"/>
        <w:spacing w:after="0" w:line="264" w:lineRule="auto"/>
        <w:tabs>
          <w:tab w:leader="none" w:pos="752" w:val="left"/>
        </w:tabs>
        <w:numPr>
          <w:ilvl w:val="2"/>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29, 2022, TRC-MRC 5, LLC was formed to pursue the development, construction, lease-up, and management of an approximately 446,400 square foot industrial building located within TRCC-East. The construction of the building was completed in the fourth quarter of 2023, and the joint venture has leased 100% of the rentable space. The joint venture refinanced the construction loan in February 2024 with a promissory note. The note matures on February 3, 2035, and had an outstanding balance of $52,415,000 as of June 30, 2025. Since its inception, the Company has received excess distributions resulting in a deficit balance in its investment of $1,820,000.</w:t>
      </w:r>
    </w:p>
    <w:p>
      <w:pPr>
        <w:spacing w:after="0" w:line="55" w:lineRule="exact"/>
        <w:rPr>
          <w:rFonts w:ascii="Times New Roman" w:cs="Times New Roman" w:eastAsia="Times New Roman" w:hAnsi="Times New Roman"/>
          <w:sz w:val="14"/>
          <w:szCs w:val="14"/>
          <w:color w:val="auto"/>
        </w:rPr>
      </w:pPr>
    </w:p>
    <w:p>
      <w:pPr>
        <w:ind w:left="755" w:hanging="246"/>
        <w:spacing w:after="0" w:line="264" w:lineRule="auto"/>
        <w:tabs>
          <w:tab w:leader="none" w:pos="752" w:val="left"/>
        </w:tabs>
        <w:numPr>
          <w:ilvl w:val="2"/>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2021, TRC-MRC 4, LLC was formed to pursue the development, construction, lease-up, and management of a 629,274 square foot industrial building located within TRCC-East. The construction of the building was completed in the fourth quarter of 2022, and the joint venture has leased 100% of the rentable space. The joint venture refinanced its construction loan in March 2023 with a promissory note. The note matures on March 1, 2033, and had an outstanding balance of $60,440,000 as of June 30, 2025. Since its inception, the Company has received excess distributions resulting in a deficit balance in its investment of $6,590,000.</w:t>
      </w:r>
    </w:p>
    <w:p>
      <w:pPr>
        <w:spacing w:after="0" w:line="55" w:lineRule="exact"/>
        <w:rPr>
          <w:rFonts w:ascii="Times New Roman" w:cs="Times New Roman" w:eastAsia="Times New Roman" w:hAnsi="Times New Roman"/>
          <w:sz w:val="14"/>
          <w:szCs w:val="14"/>
          <w:color w:val="auto"/>
        </w:rPr>
      </w:pPr>
    </w:p>
    <w:p>
      <w:pPr>
        <w:ind w:left="755" w:hanging="246"/>
        <w:spacing w:after="0" w:line="261" w:lineRule="auto"/>
        <w:tabs>
          <w:tab w:leader="none" w:pos="752" w:val="left"/>
        </w:tabs>
        <w:numPr>
          <w:ilvl w:val="2"/>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$32,254,000 as of June 30, 2025. The Company's investment in this joint venture was $212,000 as of June 30, 2025.</w:t>
      </w:r>
    </w:p>
    <w:p>
      <w:pPr>
        <w:spacing w:after="0" w:line="58" w:lineRule="exact"/>
        <w:rPr>
          <w:rFonts w:ascii="Times New Roman" w:cs="Times New Roman" w:eastAsia="Times New Roman" w:hAnsi="Times New Roman"/>
          <w:sz w:val="14"/>
          <w:szCs w:val="14"/>
          <w:color w:val="auto"/>
        </w:rPr>
      </w:pPr>
    </w:p>
    <w:p>
      <w:pPr>
        <w:ind w:left="755" w:right="40" w:hanging="246"/>
        <w:spacing w:after="0" w:line="264" w:lineRule="auto"/>
        <w:tabs>
          <w:tab w:leader="none" w:pos="752" w:val="left"/>
        </w:tabs>
        <w:numPr>
          <w:ilvl w:val="2"/>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2016, the Company partnered with Majestic to form TRC-MRC 2, LLC to acquire, lease, and maintain a fully occupied warehouse at TRCC-West. The partnership acquired the 651,909 square foot building for $24,773,000, and was largely financed through a promissory note. The promissory note was refinanced on June 1, 2018 with a $25,240,000 promissory note. The note matures on July 3, 2028 and had an outstanding principal balance of $20,869,000 as of June 30, 2025. The building was 100% leased as of June 30, 2025. The Company's investment in this joint venture was $299,000 as of June 30, 2025.</w:t>
      </w:r>
    </w:p>
    <w:p>
      <w:pPr>
        <w:spacing w:after="0" w:line="55" w:lineRule="exact"/>
        <w:rPr>
          <w:rFonts w:ascii="Times New Roman" w:cs="Times New Roman" w:eastAsia="Times New Roman" w:hAnsi="Times New Roman"/>
          <w:sz w:val="14"/>
          <w:szCs w:val="14"/>
          <w:color w:val="auto"/>
        </w:rPr>
      </w:pPr>
    </w:p>
    <w:p>
      <w:pPr>
        <w:ind w:left="755" w:right="160" w:hanging="246"/>
        <w:spacing w:after="0" w:line="264" w:lineRule="auto"/>
        <w:tabs>
          <w:tab w:leader="none" w:pos="752" w:val="left"/>
        </w:tabs>
        <w:numPr>
          <w:ilvl w:val="2"/>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2016, TRC-MRC 1, LLC was formed to develop and operate an approximately 480,480 square foot industrial building at TRCC-East. The joint venture completed construction in 2017. The joint venture refinanced its construction loan in December 2018 with a mortgage loan. The original balance of the mortgage loan was $25,030,000, of which $21,121,000 was outstanding as of June 30, 2025. Since inception of the joint venture, the Company has received excess distributions resulting in a deficit balance in its investment of $965,000.</w:t>
      </w:r>
    </w:p>
    <w:p>
      <w:pPr>
        <w:spacing w:after="0" w:line="55" w:lineRule="exact"/>
        <w:rPr>
          <w:rFonts w:ascii="Times New Roman" w:cs="Times New Roman" w:eastAsia="Times New Roman" w:hAnsi="Times New Roman"/>
          <w:sz w:val="14"/>
          <w:szCs w:val="14"/>
          <w:color w:val="auto"/>
        </w:rPr>
      </w:pPr>
    </w:p>
    <w:p>
      <w:pPr>
        <w:ind w:left="255" w:right="440" w:hanging="255"/>
        <w:spacing w:after="0" w:line="287" w:lineRule="auto"/>
        <w:tabs>
          <w:tab w:leader="none" w:pos="25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TRC-DP 1, LLC - This joint venture was formed on October 4, 2024 with Dedeaux Properties to develop, manage, and operate an approximately 510,385 square foot industrial building at TRCC-East on land to be contributed by the Company in a future period. The Company's investment in this joint venture was $583,000 as of June 30, 2025.</w:t>
      </w:r>
    </w:p>
    <w:p>
      <w:pPr>
        <w:spacing w:after="0" w:line="200" w:lineRule="exact"/>
        <w:rPr>
          <w:sz w:val="20"/>
          <w:szCs w:val="20"/>
          <w:color w:val="auto"/>
        </w:rPr>
      </w:pPr>
    </w:p>
    <w:p>
      <w:pPr>
        <w:spacing w:after="0" w:line="27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857" w:right="319" w:bottom="1440" w:gutter="0" w:footer="0" w:header="0"/>
        </w:sectPr>
      </w:pPr>
    </w:p>
    <w:bookmarkStart w:id="27" w:name="page28"/>
    <w:bookmarkEnd w:id="27"/>
    <w:p>
      <w:pPr>
        <w:ind w:left="260" w:hanging="255"/>
        <w:spacing w:after="0" w:line="257"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TRCC/Rock Outlet Center LLC – This joint venture was formed in 2013 with Rockefeller Group Development Corporation, or Rockefeller to develop, own, and manage a net leasable 326,000 square foot outlet center on land at TRCC-East. At June 30, 2025, the Company’s equity investment balance in this joint venture was $7,723,000.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July 1, 2025, the TRCC/Rock Outlet Center LLC joint venture extended the maturity date of its term note with a financial institution from June 30, 2025 to September 30, 2025. As of June 30, 2025, the outstanding balance of the term note was $20,384,000. The Company and Rockefeller guarantee the performance of the debt.</w:t>
      </w:r>
    </w:p>
    <w:p>
      <w:pPr>
        <w:spacing w:after="0" w:line="50" w:lineRule="exact"/>
        <w:rPr>
          <w:rFonts w:ascii="Times New Roman" w:cs="Times New Roman" w:eastAsia="Times New Roman" w:hAnsi="Times New Roman"/>
          <w:sz w:val="14"/>
          <w:szCs w:val="14"/>
          <w:color w:val="auto"/>
        </w:rPr>
      </w:pPr>
    </w:p>
    <w:p>
      <w:pPr>
        <w:ind w:left="260" w:right="200" w:hanging="255"/>
        <w:spacing w:after="0" w:line="271"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Founders, LLC – CFL is a joint venture with TRI Pointe Homes to pursue the entitlement and development of land that the Company owns in Los Angeles County. As of June 30, 2025, the Company owned 93.75% of CFL.</w:t>
      </w:r>
    </w:p>
    <w:p>
      <w:pPr>
        <w:spacing w:after="0" w:line="9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Unaudited condensed statements of operations for the six months ended June 30, 2025 and 2024 and condensed balance sheet information of the Company’s unconsolidated joint ventures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2025 and December 31, 2024 are as follows: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04" w:right="3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TRC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Equity in Earnings (Loss)</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37,426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41,399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TRCC/Rock Outlet Center LLC</w:t>
            </w:r>
            <w:r>
              <w:rPr>
                <w:rFonts w:ascii="Times New Roman" w:cs="Times New Roman" w:eastAsia="Times New Roman" w:hAnsi="Times New Roman"/>
                <w:sz w:val="18"/>
                <w:szCs w:val="18"/>
                <w:color w:val="auto"/>
                <w:vertAlign w:val="superscript"/>
              </w:rPr>
              <w:t>1</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5, LLC</w:t>
            </w: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46,791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3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Consolidated</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80" w:hanging="61"/>
        <w:spacing w:after="0"/>
        <w:tabs>
          <w:tab w:leader="none" w:pos="80" w:val="left"/>
        </w:tabs>
        <w:numPr>
          <w:ilvl w:val="0"/>
          <w:numId w:val="2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Revenues for TRCC/Rock Outlet Center LLC are presented net of non-cash tenant allowance amortization of $0.1 million and $0.3 million for the three months ended June 30, 2025 and June 30, 2024, respectively.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TRC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Equity in Earnings (Loss)</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68,898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75,898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TRCC/Rock Outlet Center LLC</w:t>
            </w:r>
            <w:r>
              <w:rPr>
                <w:rFonts w:ascii="Times New Roman" w:cs="Times New Roman" w:eastAsia="Times New Roman" w:hAnsi="Times New Roman"/>
                <w:sz w:val="18"/>
                <w:szCs w:val="18"/>
                <w:color w:val="auto"/>
                <w:vertAlign w:val="superscript"/>
              </w:rPr>
              <w:t>1</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5, LLC</w:t>
            </w: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71"/>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87,771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93,572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3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Consolidated</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80" w:hanging="61"/>
        <w:spacing w:after="0"/>
        <w:tabs>
          <w:tab w:leader="none" w:pos="80" w:val="left"/>
        </w:tabs>
        <w:numPr>
          <w:ilvl w:val="0"/>
          <w:numId w:val="2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Revenues for TRCC/Rock Outlet Center LLC are presented net of non-cash tenant allowance amortization of $0.3 million and $0.7 million for the six months ended June 30, 2025 and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29" w:name="page30"/>
    <w:bookmarkEnd w:id="29"/>
    <w:tbl>
      <w:tblPr>
        <w:tblLayout w:type="fixed"/>
        <w:tblInd w:w="2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Joint Venture</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TRC</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Joint Venture</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TRC</w:t>
            </w:r>
          </w:p>
        </w:tc>
        <w:tc>
          <w:tcPr>
            <w:tcW w:w="0" w:type="dxa"/>
            <w:vAlign w:val="bottom"/>
          </w:tcPr>
          <w:p>
            <w:pPr>
              <w:spacing w:after="0"/>
              <w:rPr>
                <w:sz w:val="1"/>
                <w:szCs w:val="1"/>
                <w:color w:val="auto"/>
              </w:rPr>
            </w:pPr>
          </w:p>
        </w:tc>
      </w:tr>
      <w:tr>
        <w:trPr>
          <w:trHeight w:val="186"/>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(11,412)</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57,944</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22,447</w:t>
            </w:r>
          </w:p>
        </w:tc>
        <w:tc>
          <w:tcPr>
            <w:tcW w:w="100" w:type="dxa"/>
            <w:vAlign w:val="bottom"/>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(11,793)</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53,571</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19,823</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(20,384)</w:t>
            </w:r>
          </w:p>
        </w:tc>
        <w:tc>
          <w:tcPr>
            <w:tcW w:w="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31,095</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54,533</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(20,545)</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32,832</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24,172</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(21,121)</w:t>
            </w: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24,539</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(21,470)</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21,669</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(20,869)</w:t>
            </w:r>
          </w:p>
        </w:tc>
        <w:tc>
          <w:tcPr>
            <w:tcW w:w="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(21,234)</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34,316</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(32,254)</w:t>
            </w: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34,436</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(32,722)</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48,038</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(60,440)</w:t>
            </w:r>
          </w:p>
        </w:tc>
        <w:tc>
          <w:tcPr>
            <w:tcW w:w="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(13,159)</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49,118</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(60,906)</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(10,664)</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5, LLC</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49,095</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(52,415)</w:t>
            </w: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49,556</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(52,795)</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TRC-DP1, LLC</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(218,895)</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78,391</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31,264</w:t>
            </w: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307,292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(221,465)</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80,984</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40" w:type="dxa"/>
            <w:vAlign w:val="bottom"/>
            <w:tcBorders>
              <w:bottom w:val="single" w:sz="8" w:color="CCEEFF"/>
            </w:tcBorders>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4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107,912</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107,015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106,766</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240" w:hanging="200"/>
        <w:spacing w:after="0"/>
        <w:tabs>
          <w:tab w:leader="none" w:pos="240" w:val="left"/>
        </w:tabs>
        <w:numPr>
          <w:ilvl w:val="1"/>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Centennial Founders, LLC, is consolidated within the Company's financial statements.</w:t>
      </w:r>
    </w:p>
    <w:p>
      <w:pPr>
        <w:spacing w:after="0" w:line="181" w:lineRule="exact"/>
        <w:rPr>
          <w:rFonts w:ascii="Times New Roman" w:cs="Times New Roman" w:eastAsia="Times New Roman" w:hAnsi="Times New Roman"/>
          <w:sz w:val="11"/>
          <w:szCs w:val="11"/>
          <w:color w:val="auto"/>
        </w:rPr>
      </w:pPr>
    </w:p>
    <w:p>
      <w:pPr>
        <w:ind w:left="320" w:hanging="315"/>
        <w:spacing w:after="0"/>
        <w:tabs>
          <w:tab w:leader="none" w:pos="32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13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purchase service contract with TCWD that entitles it to receive all of TCWD’s State Water Project contract water and TCWD holds the Company's banked water in the Kern Water Bank.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 The Company's Senior Vice President and Chief Accounting Officer, Robert Velasquez, was appointed the treasurer of TCWD in February 2025.</w:t>
      </w:r>
    </w:p>
    <w:p>
      <w:pPr>
        <w:spacing w:after="0" w:line="4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Company has water contracts with WRMWSD for SWP water deliveries to its agricultural and municipal/industrial operations in the San Joaquin Valley. The terms of these contracts extend to 2085. Under the contracts, the Company is entitled to annual water for 5,487 acres of land, or 15,547 acre-feet of water, subject to SWP allocations. The Company's former Executive Vice President and Chief Operating Officer, Allen Lyda, is one of nine directors at WRMWSD. Mr. Lyda retired from the Company on March 1, 2025. As of June 30, 2025, the Company paid 3,439,000 for these water contracts and related costs.</w:t>
      </w:r>
    </w:p>
    <w:p>
      <w:pPr>
        <w:spacing w:after="0" w:line="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2024 the Company entered into a consulting services agreement with Mr. Bielli for the provision of strategic counsel to the Board and the current CEO upon Mr. Bielli’s retirement. The consulting agreement is for a term of one year, commencing April 1, 2025 and ending March 31, 2026. Compensation for Mr. Bielli’s consulting services is $85,000 per month. Mr. Bielli will also be reimbursed for normal and customary expenses incurred in connection with providing the services.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2. 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Forward-Looking Statements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i w:val="1"/>
          <w:iCs w:val="1"/>
          <w:color w:val="auto"/>
        </w:rPr>
        <w:t>This Quarterly Report on Form 10-Q contains forward-looking statements, including without limitation statements regarding strategic alliances, the almond, pistachio, olives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the adequacy of future cash flows to fund our operations, future revenue and income residential leasing, the adequacy of current assets and contracts to meet our water and other commitments, market value risks associated with investment and risk management activities and with respect to inventory and accounts receivable, our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and “well-positioned.”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geopolitical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OVERVIEW</w:t>
      </w:r>
    </w:p>
    <w:p>
      <w:pPr>
        <w:spacing w:after="0" w:line="7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are a diversified real estate development and agribusiness company committed to creating value for our shareholders by responsibly using our land and resources to meet the housing, employment, and lifestyle needs of Californians. In support of these objectives, we have been investing in land planning and entitlement activities for new commercial/industrial and resort/residential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Business Objectives and Strategies</w:t>
      </w:r>
    </w:p>
    <w:p>
      <w:pPr>
        <w:spacing w:after="0" w:line="1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Our primary business objective is to maximize long-term shareholder value through the strategic improvement and monetization of our land-based assets. A key element of our strategy is the entitlement and development of large-scale mixed-use master planned residential and commercial/industrial real estate projects that address the evolving housing and infrastructure needs of Southern and Central California. Our long-term development track record, combined with deliberate capital allocation and stakeholder engagement, positions us to unlock the full potential of these unique assets. An active example of this strategy is the TRCC master planned community, which was entitled and prevailed in litigation in 2007, and has been under continuous development since, with ongoing efforts to enhance its role as a long-term driver of operating income.</w:t>
      </w:r>
    </w:p>
    <w:p>
      <w:pPr>
        <w:spacing w:after="0" w:line="169"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4"/>
          <w:szCs w:val="14"/>
          <w:color w:val="auto"/>
        </w:rPr>
        <w:t>Our future master planned communities include up to 35,278 housing units, and more than 35 million square feet of commercial space in aggregate. Two of our master planned communities have already obtained their entitlements and have successfully defended litigation. First, we have obtained entitlements on MV and prevailed in litigation in 2012, and subsequently received the first approved final map for the project consisting of 401 residential lots and parcels for hospitality, amenities, and public uses. Second, Grapevine at Tejon Ranch, or Grapevine, was reapproved unanimously by the Kern County Board of Supervisors in 2019 and prevailed in litigation in 2021.</w:t>
      </w:r>
    </w:p>
    <w:p>
      <w:pPr>
        <w:spacing w:after="0" w:line="4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4"/>
          <w:szCs w:val="14"/>
          <w:color w:val="auto"/>
        </w:rPr>
        <w:t>Centennial at Tejon Ranch, or Centennial, had entitlements approved in 2019 by the Los Angeles County Board of Supervisors. These approvals were litigated in two lawsuits filed in Los Angeles County Superior Court in May 2019 and we have since worked on defending and addressing the ongoing litigation, including considering all options to address the Superior Court’s January 2022 decision and the Superior Court’s March 22, 2023 final judgment. On May 26, 2023, we filed a Notice of Appeal, thereby appealing the Superior Court’s decision to the Second District of the California Court of Appeal. On June 27, 2023, CBD/CNPS cross -appealed the Superior Court’s ruling. The Court of Appeal held a hearing on April 3, 2025 for this matter. On June 26, 2025, the Court of Appeal issued a written decision affirming the Superior Court’s decision in full. In doing so, the Court of Appeal upheld the Superior Court determinations that the Centennial Approvals be rescinded and Centennial EIR decertified pending correction of the EIR for the issues described above.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1" w:name="page32"/>
    <w:bookmarkEnd w:id="31"/>
    <w:p>
      <w:pPr>
        <w:ind w:right="100"/>
        <w:spacing w:after="0" w:line="243" w:lineRule="auto"/>
        <w:rPr>
          <w:sz w:val="20"/>
          <w:szCs w:val="20"/>
          <w:color w:val="auto"/>
        </w:rPr>
      </w:pPr>
      <w:r>
        <w:rPr>
          <w:rFonts w:ascii="Times New Roman" w:cs="Times New Roman" w:eastAsia="Times New Roman" w:hAnsi="Times New Roman"/>
          <w:sz w:val="14"/>
          <w:szCs w:val="14"/>
          <w:color w:val="auto"/>
        </w:rPr>
        <w:t>The Company is in the process of working with LA County to advance the Centennial project, which will include preparing supplemental environmental documentation and analysis for the Centennial project to address the Superior Court’s final judgment and the Court of Appeals decision, and do so in a way that benefits the housing and economic development needs of the region and delivers value for our shareholders. See Note 11 (Commitments and Contingencies) of the Notes to Unaudited Consolidated Financial Statements for additional information regarding the Centennial litigation.</w:t>
      </w:r>
    </w:p>
    <w:p>
      <w:pPr>
        <w:spacing w:after="0" w:line="5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At our fully operational mixed-use master planned community, TRCC, we are currently executing on value creation as we are actively engaged in construction, commercial sales, and leasing. In the second quarter of 2025, our real estate operations expanded to include residential leasing with the launch of Terra Vista at Tejon, our multi-family project that began development in 2024. Leasing commenced in May and welcomed its first residents, marking a key milestone in diversifying our portfolio and enhancing long-term recurring revenue streams.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these efforts are supported by diverse revenue streams generated from other operations, including: farming, mineral resources, ranch operations, and our various joint ventures.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operate in five reporting segments: commercial/industrial real estate development; resort/residential real estate development; mineral resources; farming; and ranch operations.</w:t>
      </w:r>
    </w:p>
    <w:p>
      <w:pPr>
        <w:spacing w:after="0" w:line="83"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third-parties for their own development. The commercial/industrial real estate development segment also includes activities related to the power plant lease and communications leases.</w:t>
      </w:r>
    </w:p>
    <w:p>
      <w:pPr>
        <w:spacing w:after="0" w:line="3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At the heart of the commercial/industrial real estate development segment is TRCC, a 20 million square foot mixed-use development on Interstate 5 just north of the Los Angeles basin. TRCC continues to serve as a model for long-term value creation, having generated more than $110 million in cumulative cash flow from commercial and industrial development since 2000. With the launch of Terra Vista at Tejon, TRCC is now evolving into a vibrant residential and employment hub, enhancing the interconnectivity of our mixed-use master planned community strategy. Over eight million square feet of industrial, commercial and retail space has already been developed or is under development, including distribution centers for IKEA, Caterpillar, Nestlé, Famous Footwear, L'Oreal, Camping World, Sunrise Brands, Dollar General and RectorSeal. TRCC sits on both sides of Interstate 5, giving distributors immediate access to the West Coast’s principal north-south goods movement corridor.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also involved in multiple joint ventures within TRCC with several partners that help us expand our commercial/industrial business activities:</w:t>
      </w:r>
    </w:p>
    <w:p>
      <w:pPr>
        <w:spacing w:after="0" w:line="83" w:lineRule="exact"/>
        <w:rPr>
          <w:sz w:val="20"/>
          <w:szCs w:val="20"/>
          <w:color w:val="auto"/>
        </w:rPr>
      </w:pPr>
    </w:p>
    <w:p>
      <w:pPr>
        <w:ind w:left="520" w:right="40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joint venture with TravelCenters of America that owns and operates two travel and truck stop facilities, comprised of five separate gas stations with convenience stores and fast-food restaurants within TRCC-West and TRCC-East.</w:t>
      </w:r>
    </w:p>
    <w:p>
      <w:pPr>
        <w:spacing w:after="0" w:line="18"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joint venture, TRCC/Rock Outlet Center LLC, with Rockefeller Group Development Corporation, or Rockefeller which operates the Outlets at Tejon, a net leasable 326,000 square foot shopping experience in TRCC-East.</w:t>
      </w:r>
    </w:p>
    <w:p>
      <w:pPr>
        <w:spacing w:after="0" w:line="28"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Five joint ventures with Majestic Realty Co., or Majestic, to develop, manage, and operate five industrial buildings comprising of 2.8 million square feet of industrial space all within TRCC and all fully leased.</w:t>
      </w:r>
    </w:p>
    <w:p>
      <w:pPr>
        <w:spacing w:after="0" w:line="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4, 2024, we entered into a joint venture with Dedeaux Properties to develop, manage, and operate an industrial building of 510,385 square feet of space.</w:t>
      </w:r>
    </w:p>
    <w:p>
      <w:pPr>
        <w:spacing w:after="0" w:line="7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resort/residential real estate development segment is actively involved in the land entitlement and development process internally and through a joint venture. Our active developments within this segment are MV, Centennial, and Grapevine, with Grapevine North representing a fourth opportunity in this segment. Our master planned communities represent long-term value drivers for the Company. By leveraging a strong track record of obtaining and defending entitlements in California’s complex regulatory environment, we are building the foundation for future recurring revenue generation while preserving optionality across our land portfolio.</w:t>
      </w:r>
    </w:p>
    <w:p>
      <w:pPr>
        <w:spacing w:after="0" w:line="45" w:lineRule="exact"/>
        <w:rPr>
          <w:sz w:val="20"/>
          <w:szCs w:val="20"/>
          <w:color w:val="auto"/>
        </w:rPr>
      </w:pPr>
    </w:p>
    <w:p>
      <w:pPr>
        <w:ind w:left="520" w:right="44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MV encompasses a total of 26,417 acres, of which 5,082 acres are approved to be used for a master planned community development that will include housing, retail, and commercial components. MV is entitled for 3,450 homes, 160,000 square feet of commercial development, 750 hotel keys, and more than 21,335 acres of open space;</w:t>
      </w:r>
    </w:p>
    <w:p>
      <w:pPr>
        <w:spacing w:after="0" w:line="18" w:lineRule="exact"/>
        <w:rPr>
          <w:rFonts w:ascii="Times New Roman" w:cs="Times New Roman" w:eastAsia="Times New Roman" w:hAnsi="Times New Roman"/>
          <w:sz w:val="14"/>
          <w:szCs w:val="14"/>
          <w:color w:val="auto"/>
        </w:rPr>
      </w:pPr>
    </w:p>
    <w:p>
      <w:pPr>
        <w:ind w:left="520" w:right="20" w:hanging="260"/>
        <w:spacing w:after="0" w:line="246"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Centennial development is a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See Note 11 (Commitments and Contingencies) of the Notes to Unaudited Consolidated Financial Statements for additional information related to current litigation;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32" w:name="page33"/>
    <w:bookmarkEnd w:id="32"/>
    <w:p>
      <w:pPr>
        <w:ind w:left="520" w:right="40" w:hanging="260"/>
        <w:spacing w:after="0" w:line="271"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Grapevine is an 8,010-acre development area located on the San Joaquin Valley floor area of our lands, adjacent to TRCC. Upon completion of Grapevine, this master planned community is expected to include 12,000 homes, 5.1 million square feet of commercial development, and more than 3,367 acres of open space and parks; and</w:t>
      </w:r>
    </w:p>
    <w:p>
      <w:pPr>
        <w:spacing w:after="0" w:line="18" w:lineRule="exact"/>
        <w:rPr>
          <w:rFonts w:ascii="Times New Roman" w:cs="Times New Roman" w:eastAsia="Times New Roman" w:hAnsi="Times New Roman"/>
          <w:sz w:val="14"/>
          <w:szCs w:val="14"/>
          <w:color w:val="auto"/>
        </w:rPr>
      </w:pPr>
    </w:p>
    <w:p>
      <w:pPr>
        <w:ind w:left="520" w:right="120" w:hanging="260"/>
        <w:spacing w:after="0" w:line="25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northeast of Grapevine is Grapevine North, a 7,655-acre development area, which is currently used for agricultural purposes. Identified as a development area in the RWA, Grapevine North presents a significant opportunity for future development. Grapevine North may feature mixed-use community development similar to Grapevine at Tejon Ranch, or other development uses as appropriate based upon market conditions at the time. The Company is not currently pursuing entitlements for Grapevine North.</w:t>
      </w:r>
    </w:p>
    <w:p>
      <w:pPr>
        <w:spacing w:after="0" w:line="51"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4"/>
          <w:szCs w:val="14"/>
          <w:color w:val="auto"/>
        </w:rPr>
        <w:t>Please refer to our Annual Report on Form 10-K for the year ended December 31, 2024, for a more detailed description of our active developments within the resort/residential real estate development segment.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mineral resources segment generates revenues from oil and gas royalty leases, rock and aggregate mining leases, a lease with National Cement Company of California Inc., and water sales.</w:t>
      </w:r>
    </w:p>
    <w:p>
      <w:pPr>
        <w:spacing w:after="0" w:line="8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farming segment produces revenues from the sale of wine grapes, almonds, and pistachios. As part of our crop segmentation strategy within the farming division, we have initiated the planting of an olive orchard to diversify our commodity portfolio and better position the Company for shifts in market conditions.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Lastly, the ranch operations segment consists of game management revenues and ancillary land uses such as grazing leases and filming.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Summary of Second Quarter and YTD 2025 Performance</w:t>
      </w:r>
    </w:p>
    <w:p>
      <w:pPr>
        <w:spacing w:after="0" w:line="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For the three months ended June 30, 2025, we had a net loss attributable to common stockholders of $1,712,000 compared to a net income attributable to common stockholders of $957,000 for the three months ended June 30, 2024. The primary driver of this $2,669,000 increase in net loss was the additional professional fees and consulting expenses incurred of $2,316,000 during the contested board election and proxy defense.</w:t>
      </w:r>
    </w:p>
    <w:p>
      <w:pPr>
        <w:spacing w:after="0" w:line="3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For the six months ended June 30, 2025, we had a net loss attributable to common stockholders of $3,176,000 compared to a net income attributable to common stockholders of $43,000 for the same period in 2024. The primary driver of this $3,219,000 increase in net loss was due to the $3,399,000 additional expense incurred related to the contested board election and proxy defense efforts mentioned above during the six months ended June 30, 2025.</w:t>
      </w:r>
    </w:p>
    <w:p>
      <w:pPr>
        <w:spacing w:after="0" w:line="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13 (Reporting Segments and Related Information) of the Notes to Unaudited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Critical Accounting Estimates</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preparation of our interim financial statements in accordance with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4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During the six months ended June 30, 2025, our critical accounting policies have not changed since the filing of our Annual Report on Form 10-K for the year ended December 31, 2024. Please refer to that filing for a description of our critical accounting policies. Please also refer to Note 1 (Basis of Presentation) in the Notes to Unaudited Consolidated Financial Statements in this report for a discussion regarding newly adopted accounting principles.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006EBF"/>
        </w:rPr>
        <w:t>Results of Operations by Segment</w:t>
      </w:r>
    </w:p>
    <w:p>
      <w:pPr>
        <w:spacing w:after="0" w:line="8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6EBF"/>
              </w:rPr>
              <w:t>Real Estate – Commercial/Industrial:</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51"/>
        </w:trPr>
        <w:tc>
          <w:tcPr>
            <w:tcW w:w="20" w:type="dxa"/>
            <w:vAlign w:val="bottom"/>
            <w:tcBorders>
              <w:top w:val="single" w:sz="8" w:color="006EBF"/>
            </w:tcBorders>
          </w:tcPr>
          <w:p>
            <w:pPr>
              <w:spacing w:after="0"/>
              <w:rPr>
                <w:sz w:val="24"/>
                <w:szCs w:val="24"/>
                <w:color w:val="auto"/>
              </w:rPr>
            </w:pPr>
          </w:p>
        </w:tc>
        <w:tc>
          <w:tcPr>
            <w:tcW w:w="2240" w:type="dxa"/>
            <w:vAlign w:val="bottom"/>
            <w:tcBorders>
              <w:top w:val="single" w:sz="8" w:color="006EBF"/>
            </w:tcBorders>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gridSpan w:val="5"/>
          </w:tcPr>
          <w:p>
            <w:pPr>
              <w:ind w:left="44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20" w:type="dxa"/>
            <w:vAlign w:val="bottom"/>
          </w:tcPr>
          <w:p>
            <w:pPr>
              <w:spacing w:after="0"/>
              <w:rPr>
                <w:sz w:val="24"/>
                <w:szCs w:val="24"/>
                <w:color w:val="auto"/>
              </w:rPr>
            </w:pPr>
          </w:p>
        </w:tc>
        <w:tc>
          <w:tcPr>
            <w:tcW w:w="17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Change</w:t>
            </w:r>
          </w:p>
        </w:tc>
        <w:tc>
          <w:tcPr>
            <w:tcW w:w="12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20" w:type="dxa"/>
            <w:vAlign w:val="bottom"/>
          </w:tcPr>
          <w:p>
            <w:pPr>
              <w:spacing w:after="0"/>
              <w:rPr>
                <w:sz w:val="13"/>
                <w:szCs w:val="1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Pastoria Energy Facility</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20" w:type="dxa"/>
            <w:vAlign w:val="bottom"/>
          </w:tcPr>
          <w:p>
            <w:pPr>
              <w:spacing w:after="0"/>
              <w:rPr>
                <w:sz w:val="15"/>
                <w:szCs w:val="15"/>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TRCC Leasing</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20" w:type="dxa"/>
            <w:vAlign w:val="bottom"/>
          </w:tcPr>
          <w:p>
            <w:pPr>
              <w:spacing w:after="0"/>
              <w:rPr>
                <w:sz w:val="15"/>
                <w:szCs w:val="15"/>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TRCC management fees and reimbursements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20" w:type="dxa"/>
            <w:vAlign w:val="bottom"/>
          </w:tcPr>
          <w:p>
            <w:pPr>
              <w:spacing w:after="0"/>
              <w:rPr>
                <w:sz w:val="15"/>
                <w:szCs w:val="15"/>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Commercial leases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0" w:type="dxa"/>
            <w:vAlign w:val="bottom"/>
          </w:tcPr>
          <w:p>
            <w:pPr>
              <w:spacing w:after="0"/>
              <w:rPr>
                <w:sz w:val="15"/>
                <w:szCs w:val="15"/>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Communication leases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20" w:type="dxa"/>
            <w:vAlign w:val="bottom"/>
          </w:tcPr>
          <w:p>
            <w:pPr>
              <w:spacing w:after="0"/>
              <w:rPr>
                <w:sz w:val="15"/>
                <w:szCs w:val="15"/>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Landscaping and other services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0"/>
        </w:trPr>
        <w:tc>
          <w:tcPr>
            <w:tcW w:w="20" w:type="dxa"/>
            <w:vAlign w:val="bottom"/>
          </w:tcPr>
          <w:p>
            <w:pPr>
              <w:spacing w:after="0"/>
              <w:rPr>
                <w:sz w:val="15"/>
                <w:szCs w:val="15"/>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Land sale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commercial/industrial revenues</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12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4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1"/>
        </w:trPr>
        <w:tc>
          <w:tcPr>
            <w:tcW w:w="20" w:type="dxa"/>
            <w:vAlign w:val="bottom"/>
          </w:tcPr>
          <w:p>
            <w:pPr>
              <w:spacing w:after="0"/>
              <w:rPr>
                <w:sz w:val="14"/>
                <w:szCs w:val="14"/>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of land</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20" w:type="dxa"/>
            <w:vAlign w:val="bottom"/>
          </w:tcPr>
          <w:p>
            <w:pPr>
              <w:spacing w:after="0"/>
              <w:rPr>
                <w:sz w:val="15"/>
                <w:szCs w:val="15"/>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tcPr>
          <w:p>
            <w:pPr>
              <w:spacing w:after="0"/>
              <w:rPr>
                <w:sz w:val="15"/>
                <w:szCs w:val="15"/>
                <w:color w:val="auto"/>
              </w:rPr>
            </w:pPr>
          </w:p>
        </w:tc>
        <w:tc>
          <w:tcPr>
            <w:tcW w:w="444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General and administrative expenses </w:t>
            </w:r>
            <w:r>
              <w:rPr>
                <w:rFonts w:ascii="Times New Roman" w:cs="Times New Roman" w:eastAsia="Times New Roman" w:hAnsi="Times New Roman"/>
                <w:sz w:val="18"/>
                <w:szCs w:val="18"/>
                <w:color w:val="auto"/>
                <w:vertAlign w:val="superscript"/>
              </w:rPr>
              <w:t>1</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20" w:type="dxa"/>
            <w:vAlign w:val="bottom"/>
          </w:tcPr>
          <w:p>
            <w:pPr>
              <w:spacing w:after="0"/>
              <w:rPr>
                <w:sz w:val="15"/>
                <w:szCs w:val="15"/>
                <w:color w:val="auto"/>
              </w:rPr>
            </w:pPr>
          </w:p>
        </w:tc>
        <w:tc>
          <w:tcPr>
            <w:tcW w:w="4440" w:type="dxa"/>
            <w:vAlign w:val="bottom"/>
            <w:tcBorders>
              <w:bottom w:val="single" w:sz="8" w:color="CCEEFF"/>
            </w:tcBorders>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expenses </w:t>
            </w:r>
            <w:r>
              <w:rPr>
                <w:rFonts w:ascii="Times New Roman" w:cs="Times New Roman" w:eastAsia="Times New Roman" w:hAnsi="Times New Roman"/>
                <w:sz w:val="18"/>
                <w:szCs w:val="18"/>
                <w:color w:val="auto"/>
                <w:vertAlign w:val="superscript"/>
              </w:rPr>
              <w:t>2</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69 %</w:t>
            </w:r>
          </w:p>
        </w:tc>
      </w:tr>
      <w:tr>
        <w:trPr>
          <w:trHeight w:val="171"/>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commercial/industrial expenses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175"/>
        </w:trPr>
        <w:tc>
          <w:tcPr>
            <w:tcW w:w="2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income from commercial/industrial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2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4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-1905</wp:posOffset>
            </wp:positionV>
            <wp:extent cx="432562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25620" cy="6985"/>
                    </a:xfrm>
                    <a:prstGeom prst="rect">
                      <a:avLst/>
                    </a:prstGeom>
                    <a:noFill/>
                  </pic:spPr>
                </pic:pic>
              </a:graphicData>
            </a:graphic>
          </wp:anchor>
        </w:drawing>
      </w:r>
    </w:p>
    <w:p>
      <w:pPr>
        <w:ind w:left="80" w:hanging="50"/>
        <w:spacing w:after="0" w:line="219" w:lineRule="auto"/>
        <w:tabs>
          <w:tab w:leader="none" w:pos="80" w:val="left"/>
        </w:tabs>
        <w:numPr>
          <w:ilvl w:val="0"/>
          <w:numId w:val="2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General and administrative expenses included compensation expense and overhead.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-88265</wp:posOffset>
            </wp:positionV>
            <wp:extent cx="7148195" cy="1009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00965"/>
                    </a:xfrm>
                    <a:prstGeom prst="rect">
                      <a:avLst/>
                    </a:prstGeom>
                    <a:noFill/>
                  </pic:spPr>
                </pic:pic>
              </a:graphicData>
            </a:graphic>
          </wp:anchor>
        </w:drawing>
      </w:r>
    </w:p>
    <w:p>
      <w:pPr>
        <w:ind w:left="100" w:hanging="70"/>
        <w:spacing w:after="0" w:line="221" w:lineRule="auto"/>
        <w:tabs>
          <w:tab w:leader="none" w:pos="100" w:val="left"/>
        </w:tabs>
        <w:numPr>
          <w:ilvl w:val="1"/>
          <w:numId w:val="2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main components of the other expenses included tenant recoverable expenses and depreciation expenses.</w:t>
      </w:r>
    </w:p>
    <w:p>
      <w:pPr>
        <w:spacing w:after="0" w:line="333" w:lineRule="exact"/>
        <w:rPr>
          <w:rFonts w:ascii="Times New Roman" w:cs="Times New Roman" w:eastAsia="Times New Roman" w:hAnsi="Times New Roman"/>
          <w:sz w:val="15"/>
          <w:szCs w:val="15"/>
          <w:color w:val="auto"/>
          <w:vertAlign w:val="superscript"/>
        </w:rPr>
      </w:pPr>
    </w:p>
    <w:p>
      <w:pPr>
        <w:ind w:left="260" w:right="160" w:hanging="255"/>
        <w:spacing w:after="0" w:line="264"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revenues were $5,107,000 for the three months ended June 30, 2025, an increase of $2,557,000, or 100%, from $2,550,000 for the three months ended June 30, 2024. The increase was primarily attributable to the recognition of $2,373,000 in land sale revenue following the Company's completion of the performance obligation associated with a land sale transaction that occurred in 2022. Additionally, revenue from the Pastoria Energy Facility increased by $98,000 due to improved spark spread, and landscaping and other service revenues rose by $84,000.</w:t>
      </w:r>
    </w:p>
    <w:p>
      <w:pPr>
        <w:spacing w:after="0" w:line="44" w:lineRule="exact"/>
        <w:rPr>
          <w:rFonts w:ascii="Times New Roman" w:cs="Times New Roman" w:eastAsia="Times New Roman" w:hAnsi="Times New Roman"/>
          <w:sz w:val="14"/>
          <w:szCs w:val="14"/>
          <w:color w:val="auto"/>
        </w:rPr>
      </w:pPr>
    </w:p>
    <w:p>
      <w:pPr>
        <w:ind w:left="260" w:right="100" w:hanging="255"/>
        <w:spacing w:after="0" w:line="264"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expenses were $3,536,000 for the three months ended June 30, 2025, an increase of $1,546,000, or 78%, from $1,990,000 for the three months ended June 30, 2024. The increase was primarily attributable to the recognition of $1,778,000 cost of land sales incurred to satisfy the performance obligation associated with a land sale transaction executed in 2022. Additionally, this segment experienced a decrease in general and administrative expenses of $366,000, partially offset by additional depreciation expense of $127,000 due to the Terra Vista assets being placed in service during the second quarter.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color w:val="auto"/>
              </w:rPr>
              <w:t>Change</w:t>
            </w:r>
          </w:p>
        </w:tc>
        <w:tc>
          <w:tcPr>
            <w:tcW w:w="1020" w:type="dxa"/>
            <w:vAlign w:val="bottom"/>
            <w:tcBorders>
              <w:bottom w:val="single" w:sz="8" w:color="auto"/>
            </w:tcBorders>
          </w:tcPr>
          <w:p>
            <w:pPr>
              <w:spacing w:after="0"/>
              <w:rPr>
                <w:sz w:val="16"/>
                <w:szCs w:val="16"/>
                <w:color w:val="auto"/>
              </w:rPr>
            </w:pPr>
          </w:p>
        </w:tc>
      </w:tr>
      <w:tr>
        <w:trPr>
          <w:trHeight w:val="17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Pastoria Energy Facility</w:t>
            </w:r>
          </w:p>
        </w:tc>
        <w:tc>
          <w:tcPr>
            <w:tcW w:w="118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TRCC Leasing</w:t>
            </w:r>
          </w:p>
        </w:tc>
        <w:tc>
          <w:tcPr>
            <w:tcW w:w="1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TRCC management fees and reimbursements</w:t>
            </w: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leases</w:t>
            </w:r>
          </w:p>
        </w:tc>
        <w:tc>
          <w:tcPr>
            <w:tcW w:w="1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Communication leases</w:t>
            </w: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80"/>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Landscaping and other services</w:t>
            </w:r>
          </w:p>
        </w:tc>
        <w:tc>
          <w:tcPr>
            <w:tcW w:w="1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Land sale</w:t>
            </w: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1"/>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commercial/industrial revenues</w:t>
            </w:r>
          </w:p>
        </w:tc>
        <w:tc>
          <w:tcPr>
            <w:tcW w:w="1180" w:type="dxa"/>
            <w:vAlign w:val="bottom"/>
            <w:tcBorders>
              <w:top w:val="single" w:sz="8" w:color="auto"/>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7,861</w:t>
            </w:r>
          </w:p>
        </w:tc>
        <w:tc>
          <w:tcPr>
            <w:tcW w:w="80" w:type="dxa"/>
            <w:vAlign w:val="bottom"/>
            <w:tcBorders>
              <w:bottom w:val="single" w:sz="8" w:color="CCEEFF"/>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5,495</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sales of land</w:t>
            </w:r>
          </w:p>
        </w:tc>
        <w:tc>
          <w:tcPr>
            <w:tcW w:w="1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1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42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General and administrative expenses </w:t>
            </w:r>
            <w:r>
              <w:rPr>
                <w:rFonts w:ascii="Times New Roman" w:cs="Times New Roman" w:eastAsia="Times New Roman" w:hAnsi="Times New Roman"/>
                <w:sz w:val="18"/>
                <w:szCs w:val="18"/>
                <w:color w:val="auto"/>
                <w:vertAlign w:val="superscript"/>
              </w:rPr>
              <w:t>1</w:t>
            </w: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422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expenses </w:t>
            </w:r>
            <w:r>
              <w:rPr>
                <w:rFonts w:ascii="Times New Roman" w:cs="Times New Roman" w:eastAsia="Times New Roman" w:hAnsi="Times New Roman"/>
                <w:sz w:val="18"/>
                <w:szCs w:val="18"/>
                <w:color w:val="auto"/>
                <w:vertAlign w:val="superscript"/>
              </w:rPr>
              <w:t>2</w:t>
            </w:r>
          </w:p>
        </w:tc>
        <w:tc>
          <w:tcPr>
            <w:tcW w:w="1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commercial/industrial expenses</w:t>
            </w:r>
          </w:p>
        </w:tc>
        <w:tc>
          <w:tcPr>
            <w:tcW w:w="1180" w:type="dxa"/>
            <w:vAlign w:val="bottom"/>
            <w:tcBorders>
              <w:bottom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7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from commercial/industrial</w:t>
            </w:r>
          </w:p>
        </w:tc>
        <w:tc>
          <w:tcPr>
            <w:tcW w:w="118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80" w:type="dxa"/>
            <w:vAlign w:val="bottom"/>
          </w:tcPr>
          <w:p>
            <w:pPr>
              <w:spacing w:after="0"/>
              <w:rPr>
                <w:sz w:val="15"/>
                <w:szCs w:val="15"/>
                <w:color w:val="auto"/>
              </w:rPr>
            </w:pPr>
          </w:p>
        </w:tc>
        <w:tc>
          <w:tcPr>
            <w:tcW w:w="1360" w:type="dxa"/>
            <w:vAlign w:val="bottom"/>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-1905</wp:posOffset>
            </wp:positionV>
            <wp:extent cx="444627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46270" cy="6985"/>
                    </a:xfrm>
                    <a:prstGeom prst="rect">
                      <a:avLst/>
                    </a:prstGeom>
                    <a:noFill/>
                  </pic:spPr>
                </pic:pic>
              </a:graphicData>
            </a:graphic>
          </wp:anchor>
        </w:drawing>
      </w:r>
    </w:p>
    <w:p>
      <w:pPr>
        <w:ind w:left="80" w:hanging="61"/>
        <w:spacing w:after="0" w:line="219" w:lineRule="auto"/>
        <w:tabs>
          <w:tab w:leader="none" w:pos="80" w:val="left"/>
        </w:tabs>
        <w:numPr>
          <w:ilvl w:val="0"/>
          <w:numId w:val="2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General and administrative expenses included compensation expense and overhead.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27875" cy="1009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7875" cy="100965"/>
                    </a:xfrm>
                    <a:prstGeom prst="rect">
                      <a:avLst/>
                    </a:prstGeom>
                    <a:noFill/>
                  </pic:spPr>
                </pic:pic>
              </a:graphicData>
            </a:graphic>
          </wp:anchor>
        </w:drawing>
      </w:r>
    </w:p>
    <w:p>
      <w:pPr>
        <w:ind w:left="80" w:hanging="61"/>
        <w:spacing w:after="0" w:line="221" w:lineRule="auto"/>
        <w:tabs>
          <w:tab w:leader="none" w:pos="80" w:val="left"/>
        </w:tabs>
        <w:numPr>
          <w:ilvl w:val="1"/>
          <w:numId w:val="3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main components of the other expenses included tenant recoverable expenses and depreciation expenses.</w:t>
      </w:r>
    </w:p>
    <w:p>
      <w:pPr>
        <w:spacing w:after="0" w:line="142" w:lineRule="exact"/>
        <w:rPr>
          <w:rFonts w:ascii="Times New Roman" w:cs="Times New Roman" w:eastAsia="Times New Roman" w:hAnsi="Times New Roman"/>
          <w:sz w:val="15"/>
          <w:szCs w:val="15"/>
          <w:color w:val="auto"/>
          <w:vertAlign w:val="superscript"/>
        </w:rPr>
      </w:pPr>
    </w:p>
    <w:p>
      <w:pPr>
        <w:ind w:left="260" w:hanging="255"/>
        <w:spacing w:after="0" w:line="270"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revenues were $7,861,000 for the six months ended June 30, 2025, an increase of $2,366,000, or 43%, from $5,495,000 for the six months ended June 30, 2024. The primary driver of this increase was the recognition of $2,373,000 in land sales revenue, following the Company's fulfillment of the performance obligation associated with a land sale that occurred in 2022.</w:t>
      </w:r>
    </w:p>
    <w:p>
      <w:pPr>
        <w:spacing w:after="0" w:line="40" w:lineRule="exact"/>
        <w:rPr>
          <w:rFonts w:ascii="Times New Roman" w:cs="Times New Roman" w:eastAsia="Times New Roman" w:hAnsi="Times New Roman"/>
          <w:sz w:val="14"/>
          <w:szCs w:val="14"/>
          <w:color w:val="auto"/>
        </w:rPr>
      </w:pPr>
    </w:p>
    <w:p>
      <w:pPr>
        <w:ind w:left="260" w:hanging="255"/>
        <w:spacing w:after="0" w:line="264"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expenses were $5,383,000 for the six months ended June 30, 2025, an increase of $1,466,000, or 37%, from $3,917,000 for the six months ended June 30, 2024. The increase was primarily attributable to the recognition of $1,778,000 in cost of land sales, incurred to satisfy the performance obligation associated with a land sale transaction executed in 2022. Additionally, this segment incurred lower general and administrative costs of $368,000, partially offset by an increase in other expenses of $158,000 driven by higher depreciation expenses due to the Terra Vista assets being placed in service during the second quarter.</w:t>
      </w:r>
    </w:p>
    <w:p>
      <w:pPr>
        <w:spacing w:after="0" w:line="30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logistics operators currently located at TRCC have proven effective in serving customers throughout California and the broader western United States, and their success is prominently featured in our marketing efforts. We plan to continue focusing our marketing strategy for TRCC on the site's strategic labor and logistics advantages, the pro-business environment of Kern County, and the demonstrated success of existing tenants and property owners within the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5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FTZ designation allows businesses to secure the many benefits and cost reductions associated with streamlined movement of goods in and out of the trade zone. This FTZ designation is further supplemented by the AKIP adopted by the Kern County Board of Supervisors. AKIP aims to expand and enhance Kern County's competitiveness by taking affirmative steps to attract new businesses and to encourage the growth and resilience of existing businesses. AKIP provides incentives, such as assistance in obtaining tax incentives, building supporting infrastructure, and workforce development.</w:t>
      </w:r>
    </w:p>
    <w:p>
      <w:pPr>
        <w:spacing w:after="0" w:line="3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believe the FTZ and AKIP, along with our ability to provide fully entitled, shovel-ready land parcels to support buildings of any size, including buildings one million square feet or larger, provide us with a marketing advantage. Our marketing efforts target the Inland Empire region of Southern California, the Santa Clarita Valley of northern Los Angeles County, the northern part of the San Fernando Valley (due to the limited availability of new product and high real estate costs in these locations), and the San Joaquin Valley of California. We continue to analyze the market and evaluate expansions of industrial buildings for lease either on our own or in partnerships, as we have done with the buildings developed within our joint ventures.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35" w:name="page36"/>
    <w:bookmarkEnd w:id="35"/>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w:t>
      </w:r>
    </w:p>
    <w:p>
      <w:pPr>
        <w:spacing w:after="0" w:line="30"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4"/>
          <w:szCs w:val="14"/>
          <w:color w:val="auto"/>
        </w:rPr>
        <w:t>During the quarter ended June 30, 2025, vacancy rates in the Inland Empire climbed by 50 basis points to 6.8% as negative absorption and new supply in the second quarter 2025. Average asking rents continued to decline to $1.08. The San Fernando Valley and Ventura County industrial markets continued to experience tight conditions as demand remained positive. Vacancy held steady at</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2.2% in San Fernando Valley and rose 40 basis points to 2.5% in Ventura County. Average asking rent experienced a slight quarter-over-quarter decline in the San Fernando Valley, dropping $0.06 to $1.47, while Ventura posted an increase to $1.30. See below for the vacancy rates and average asking rent of Inland Empire, San Fernando Valley and Ventura County.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Vacancy Rates</w:t>
            </w: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Asking Rent</w:t>
            </w:r>
          </w:p>
        </w:tc>
        <w:tc>
          <w:tcPr>
            <w:tcW w:w="1340" w:type="dxa"/>
            <w:vAlign w:val="bottom"/>
            <w:tcBorders>
              <w:bottom w:val="single" w:sz="8" w:color="auto"/>
            </w:tcBorders>
          </w:tcPr>
          <w:p>
            <w:pPr>
              <w:spacing w:after="0"/>
              <w:rPr>
                <w:sz w:val="16"/>
                <w:szCs w:val="16"/>
                <w:color w:val="auto"/>
              </w:rPr>
            </w:pPr>
          </w:p>
        </w:tc>
      </w:tr>
      <w:tr>
        <w:trPr>
          <w:trHeight w:val="171"/>
        </w:trPr>
        <w:tc>
          <w:tcPr>
            <w:tcW w:w="23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June 30, 2025</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December 31, 2024</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June 30, 2024</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w w:val="99"/>
              </w:rPr>
              <w:t>June 30, 2025</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December 31, 2024</w:t>
            </w:r>
          </w:p>
        </w:tc>
        <w:tc>
          <w:tcPr>
            <w:tcW w:w="13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June 30, 2024</w:t>
            </w:r>
          </w:p>
        </w:tc>
      </w:tr>
      <w:tr>
        <w:trPr>
          <w:trHeight w:val="22"/>
        </w:trPr>
        <w:tc>
          <w:tcPr>
            <w:tcW w:w="2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Inland Empire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6.8%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1.08</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1.15</w:t>
            </w:r>
          </w:p>
        </w:tc>
        <w:tc>
          <w:tcPr>
            <w:tcW w:w="134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7"/>
              </w:rPr>
              <w:t>1.31</w:t>
            </w:r>
          </w:p>
        </w:tc>
      </w:tr>
      <w:tr>
        <w:trPr>
          <w:trHeight w:val="138"/>
        </w:trPr>
        <w:tc>
          <w:tcPr>
            <w:tcW w:w="23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San Fernando Valley and Ventura</w:t>
            </w:r>
          </w:p>
        </w:tc>
        <w:tc>
          <w:tcPr>
            <w:tcW w:w="1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91"/>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County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2.3%</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36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1.42</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1.42</w:t>
            </w:r>
          </w:p>
        </w:tc>
        <w:tc>
          <w:tcPr>
            <w:tcW w:w="13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7"/>
              </w:rPr>
              <w:t>1.55</w:t>
            </w:r>
          </w:p>
        </w:tc>
      </w:tr>
    </w:tbl>
    <w:p>
      <w:pPr>
        <w:spacing w:after="0" w:line="12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Industrial users seeking larger spaces are continuing to go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w:t>
      </w:r>
    </w:p>
    <w:p>
      <w:pPr>
        <w:spacing w:after="0" w:line="2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expect our commercial/industrial real estate development segment to continue to experience costs, net of amounts capitalized, primarily related to professional service fees, marketing costs, planning costs, and staffing costs, as we continue to pursue development opportunities. From a macroeconomic perspective, the tightening of capital markets may cause a near-term slowdown in new commercial real estate developments.</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 Industrial land prices have increased at TRCC since 2000 from $0.57 per square foot to $9.00 per square foot which is a 1,479% increase, demonstrating the consistent increase in demand and maturation of TRCC. Industrial rents have increased 236% over the past eight-year period starting at $0.25 per square foot in 2017.</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Real Estate – Resort/Residential: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 the preliminary stages of property development; hence, no revenues or profits are attributed to this segment.</w:t>
      </w:r>
    </w:p>
    <w:p>
      <w:pPr>
        <w:spacing w:after="0" w:line="14"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4"/>
          <w:szCs w:val="14"/>
          <w:color w:val="auto"/>
        </w:rPr>
        <w:t>Resort/residential real estate development segment expenses were $304,000 for the three months ended June 30, 2025, a decrease of $123,000 from $427,000 for the three months ended June 30, 2024. This decrease was primarily attributable to a decrease of $104,000 of payroll-related expense. The current period expenses consisted of general and administrative expenses of $278,000, professional services of $15,000 and other expenses of $11,000 for the three months ended June 30, 2025. The prior period expenses consisted of general and administrative expenses of $394,000, professional services of $22,000, and other expenses of $11,000 for the three months ended June 30, 2024.</w:t>
      </w:r>
    </w:p>
    <w:p>
      <w:pPr>
        <w:spacing w:after="0" w:line="16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Resort/residential real estate development segment expenses were $690,000 for the six months of 2025, a decrease of $1,298,000, or 65%, from $1,988,000 for the six months of 2024. The decrease was primarily attributable to additional expenses of $1,250,000 in 2024 related to professional service fees and planning costs related to capital efforts tied to the Company's master planned communities. The expenses consisted of general and administrative expenses of $630,000, professional services of $36,000, and other expenses of $24,000 for the six months ended June 30, 2025. The expenses consisted of general and administrative expenses of $669,000, professional services of $1,296,000, and other expenses of $23,000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6" w:name="page37"/>
    <w:bookmarkEnd w:id="36"/>
    <w:p>
      <w:pPr>
        <w:ind w:right="240"/>
        <w:spacing w:after="0" w:line="261" w:lineRule="auto"/>
        <w:rPr>
          <w:sz w:val="20"/>
          <w:szCs w:val="20"/>
          <w:color w:val="auto"/>
        </w:rPr>
      </w:pPr>
      <w:r>
        <w:rPr>
          <w:rFonts w:ascii="Times New Roman" w:cs="Times New Roman" w:eastAsia="Times New Roman" w:hAnsi="Times New Roman"/>
          <w:sz w:val="14"/>
          <w:szCs w:val="14"/>
          <w:color w:val="auto"/>
        </w:rPr>
        <w:t>Our long-term business strategy to develop the master-planned communities of MV, Centennial, and Grapevine remains unchanged. We believe that the long-term macroeconomic fundamentals, particularly California’s large population base and continued household formation as well as the demographic migration to the suburban and exurban periphery of Los Angeles and Kern Counties, will support sustained housing demand in our region. Additionally, California’s well-documented housing shortage reinforces the need for thoughtfully planned residential development, and we believe our communities are well-positioned to help address this shortfall. Accordingly, the majority of expenditures and capital investments within our resort/residential real estate segment are expected to remain focused on these three communities.</w:t>
      </w:r>
    </w:p>
    <w:p>
      <w:pPr>
        <w:spacing w:after="0" w:line="3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As we move forward with our master planned communities, we expect to explore funding opportunities for the future development of our projects. Such funding opportunities could come from a variety of sources, such as joint ventures with financial partners, debt financing, and/or our issuance of additional common stock.</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6EBF"/>
              </w:rPr>
              <w:t>Mineral Resources: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62"/>
        </w:trPr>
        <w:tc>
          <w:tcPr>
            <w:tcW w:w="20" w:type="dxa"/>
            <w:vAlign w:val="bottom"/>
            <w:tcBorders>
              <w:top w:val="single" w:sz="8" w:color="006EBF"/>
            </w:tcBorders>
          </w:tcPr>
          <w:p>
            <w:pPr>
              <w:spacing w:after="0"/>
              <w:rPr>
                <w:sz w:val="24"/>
                <w:szCs w:val="24"/>
                <w:color w:val="auto"/>
              </w:rPr>
            </w:pPr>
          </w:p>
        </w:tc>
        <w:tc>
          <w:tcPr>
            <w:tcW w:w="1160" w:type="dxa"/>
            <w:vAlign w:val="bottom"/>
            <w:tcBorders>
              <w:top w:val="single" w:sz="8" w:color="006EBF"/>
            </w:tcBorders>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20" w:type="dxa"/>
            <w:vAlign w:val="bottom"/>
          </w:tcPr>
          <w:p>
            <w:pPr>
              <w:spacing w:after="0"/>
              <w:rPr>
                <w:sz w:val="24"/>
                <w:szCs w:val="24"/>
                <w:color w:val="auto"/>
              </w:rPr>
            </w:pPr>
          </w:p>
        </w:tc>
        <w:tc>
          <w:tcPr>
            <w:tcW w:w="184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Change</w:t>
            </w:r>
          </w:p>
        </w:tc>
        <w:tc>
          <w:tcPr>
            <w:tcW w:w="124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20" w:type="dxa"/>
            <w:vAlign w:val="bottom"/>
          </w:tcPr>
          <w:p>
            <w:pPr>
              <w:spacing w:after="0"/>
              <w:rPr>
                <w:sz w:val="13"/>
                <w:szCs w:val="13"/>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Oil and gas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20" w:type="dxa"/>
            <w:vAlign w:val="bottom"/>
          </w:tcPr>
          <w:p>
            <w:pPr>
              <w:spacing w:after="0"/>
              <w:rPr>
                <w:sz w:val="15"/>
                <w:szCs w:val="15"/>
                <w:color w:val="auto"/>
              </w:rPr>
            </w:pPr>
          </w:p>
        </w:tc>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Cement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20" w:type="dxa"/>
            <w:vAlign w:val="bottom"/>
          </w:tcPr>
          <w:p>
            <w:pPr>
              <w:spacing w:after="0"/>
              <w:rPr>
                <w:sz w:val="15"/>
                <w:szCs w:val="15"/>
                <w:color w:val="auto"/>
              </w:rPr>
            </w:pPr>
          </w:p>
        </w:tc>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Rock aggregate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20" w:type="dxa"/>
            <w:vAlign w:val="bottom"/>
          </w:tcPr>
          <w:p>
            <w:pPr>
              <w:spacing w:after="0"/>
              <w:rPr>
                <w:sz w:val="15"/>
                <w:szCs w:val="15"/>
                <w:color w:val="auto"/>
              </w:rPr>
            </w:pPr>
          </w:p>
        </w:tc>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Exploration leases</w:t>
            </w: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84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0" w:type="dxa"/>
            <w:vAlign w:val="bottom"/>
          </w:tcPr>
          <w:p>
            <w:pPr>
              <w:spacing w:after="0"/>
              <w:rPr>
                <w:sz w:val="15"/>
                <w:szCs w:val="15"/>
                <w:color w:val="auto"/>
              </w:rPr>
            </w:pPr>
          </w:p>
        </w:tc>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Water sales</w:t>
            </w:r>
          </w:p>
        </w:tc>
        <w:tc>
          <w:tcPr>
            <w:tcW w:w="3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20" w:type="dxa"/>
            <w:vAlign w:val="bottom"/>
          </w:tcPr>
          <w:p>
            <w:pPr>
              <w:spacing w:after="0"/>
              <w:rPr>
                <w:sz w:val="15"/>
                <w:szCs w:val="15"/>
                <w:color w:val="auto"/>
              </w:rPr>
            </w:pPr>
          </w:p>
        </w:tc>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Reimbursables and other</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1"/>
        </w:trPr>
        <w:tc>
          <w:tcPr>
            <w:tcW w:w="20" w:type="dxa"/>
            <w:vAlign w:val="bottom"/>
          </w:tcPr>
          <w:p>
            <w:pPr>
              <w:spacing w:after="0"/>
              <w:rPr>
                <w:sz w:val="14"/>
                <w:szCs w:val="14"/>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mineral resources revenues</w:t>
            </w: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1"/>
        </w:trPr>
        <w:tc>
          <w:tcPr>
            <w:tcW w:w="20" w:type="dxa"/>
            <w:vAlign w:val="bottom"/>
          </w:tcPr>
          <w:p>
            <w:pPr>
              <w:spacing w:after="0"/>
              <w:rPr>
                <w:sz w:val="14"/>
                <w:szCs w:val="14"/>
                <w:color w:val="auto"/>
              </w:rPr>
            </w:pPr>
          </w:p>
        </w:tc>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Cost of sales of water</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80"/>
        </w:trPr>
        <w:tc>
          <w:tcPr>
            <w:tcW w:w="20" w:type="dxa"/>
            <w:vAlign w:val="bottom"/>
          </w:tcPr>
          <w:p>
            <w:pPr>
              <w:spacing w:after="0"/>
              <w:rPr>
                <w:sz w:val="15"/>
                <w:szCs w:val="15"/>
                <w:color w:val="auto"/>
              </w:rPr>
            </w:pPr>
          </w:p>
        </w:tc>
        <w:tc>
          <w:tcPr>
            <w:tcW w:w="428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4"/>
                <w:szCs w:val="14"/>
                <w:color w:val="auto"/>
              </w:rPr>
              <w:t>Other expenses</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1"/>
        </w:trPr>
        <w:tc>
          <w:tcPr>
            <w:tcW w:w="20" w:type="dxa"/>
            <w:vAlign w:val="bottom"/>
          </w:tcPr>
          <w:p>
            <w:pPr>
              <w:spacing w:after="0"/>
              <w:rPr>
                <w:sz w:val="14"/>
                <w:szCs w:val="1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mineral resources expenses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5"/>
        </w:trPr>
        <w:tc>
          <w:tcPr>
            <w:tcW w:w="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income from mineral resources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-123190</wp:posOffset>
            </wp:positionV>
            <wp:extent cx="7148195" cy="134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34620"/>
                    </a:xfrm>
                    <a:prstGeom prst="rect">
                      <a:avLst/>
                    </a:prstGeom>
                    <a:noFill/>
                  </pic:spPr>
                </pic:pic>
              </a:graphicData>
            </a:graphic>
          </wp:anchor>
        </w:drawing>
      </w:r>
    </w:p>
    <w:p>
      <w:pPr>
        <w:ind w:left="100" w:hanging="70"/>
        <w:spacing w:after="0" w:line="219" w:lineRule="auto"/>
        <w:tabs>
          <w:tab w:leader="none" w:pos="100" w:val="left"/>
        </w:tabs>
        <w:numPr>
          <w:ilvl w:val="1"/>
          <w:numId w:val="3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main components of the other expenses included general and administrative expenses and depreciation expenses.</w:t>
      </w:r>
    </w:p>
    <w:p>
      <w:pPr>
        <w:spacing w:after="0" w:line="333" w:lineRule="exact"/>
        <w:rPr>
          <w:rFonts w:ascii="Times New Roman" w:cs="Times New Roman" w:eastAsia="Times New Roman" w:hAnsi="Times New Roman"/>
          <w:sz w:val="15"/>
          <w:szCs w:val="15"/>
          <w:color w:val="auto"/>
          <w:vertAlign w:val="superscript"/>
        </w:rPr>
      </w:pPr>
    </w:p>
    <w:p>
      <w:pPr>
        <w:ind w:left="260" w:right="20" w:hanging="255"/>
        <w:spacing w:after="0" w:line="258" w:lineRule="auto"/>
        <w:tabs>
          <w:tab w:leader="none" w:pos="2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revenues were $1,510,000 for the three months ended June 30, 2025, representing a decrease of $522,000, or 26%, compared to $2,032,000 for the three months ended June 30, 2024. The decrease was primarily driven by a $297,000 decrease in water sales revenue, due to back-to-back above average rainfall years in California, which severely limited water sales opportunities. As rainfall levels increased, the demand for supplemental water diminished further, significantly reducing the number of viable sales opportunities, as consecutive wet years led to greater water accumulation and storage among users. Additionally, cement royalties decreased by $125,000 mainly attributable to lower production volumes during the quarter. Cement production in California declined in the first half of 2025 due to continued weakness in construction demand, high interest rates, and reduced infrastructure spending, consistent with broader national trends. Production levels are expected to recover in the second half of 2025 as interest rates are expected to ease and construction activity is expected to improve, although actual results may differ materially due to market or policy changes.</w:t>
      </w:r>
    </w:p>
    <w:p>
      <w:pPr>
        <w:spacing w:after="0" w:line="61"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2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expenses were $790,000 for the three months ended June 30, 2025, a decrease of $325,000, or 29%, from $1,115,000 for the three months ended June 30, 2024. The decrease was primarily associated with a decrease in water cost of sales of $279,000.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-1346200</wp:posOffset>
            </wp:positionV>
            <wp:extent cx="443293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32935" cy="698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7" w:name="page38"/>
    <w:bookmarkEnd w:id="37"/>
    <w:tbl>
      <w:tblPr>
        <w:tblLayout w:type="fixed"/>
        <w:tblInd w:w="26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color w:val="auto"/>
              </w:rPr>
              <w:t>Change</w:t>
            </w:r>
          </w:p>
        </w:tc>
        <w:tc>
          <w:tcPr>
            <w:tcW w:w="960" w:type="dxa"/>
            <w:vAlign w:val="bottom"/>
            <w:tcBorders>
              <w:bottom w:val="single" w:sz="8" w:color="auto"/>
            </w:tcBorders>
          </w:tcPr>
          <w:p>
            <w:pPr>
              <w:spacing w:after="0"/>
              <w:rPr>
                <w:sz w:val="16"/>
                <w:szCs w:val="16"/>
                <w:color w:val="auto"/>
              </w:rPr>
            </w:pPr>
          </w:p>
        </w:tc>
      </w:tr>
      <w:tr>
        <w:trPr>
          <w:trHeight w:val="17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Oil and gas</w:t>
            </w: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Cement</w:t>
            </w:r>
          </w:p>
        </w:tc>
        <w:tc>
          <w:tcPr>
            <w:tcW w:w="1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Rock aggregate</w:t>
            </w:r>
          </w:p>
        </w:tc>
        <w:tc>
          <w:tcPr>
            <w:tcW w:w="1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Exploration leases</w:t>
            </w:r>
          </w:p>
        </w:tc>
        <w:tc>
          <w:tcPr>
            <w:tcW w:w="1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Water Sales</w:t>
            </w:r>
          </w:p>
        </w:tc>
        <w:tc>
          <w:tcPr>
            <w:tcW w:w="1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3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Reimbursables and other</w:t>
            </w:r>
          </w:p>
        </w:tc>
        <w:tc>
          <w:tcPr>
            <w:tcW w:w="1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7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mineral resources revenues</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 of water</w:t>
            </w:r>
          </w:p>
        </w:tc>
        <w:tc>
          <w:tcPr>
            <w:tcW w:w="1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39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Other expenses</w:t>
            </w:r>
            <w:r>
              <w:rPr>
                <w:rFonts w:ascii="Times New Roman" w:cs="Times New Roman" w:eastAsia="Times New Roman" w:hAnsi="Times New Roman"/>
                <w:sz w:val="18"/>
                <w:szCs w:val="18"/>
                <w:color w:val="auto"/>
                <w:vertAlign w:val="superscript"/>
              </w:rPr>
              <w:t>1</w:t>
            </w:r>
          </w:p>
        </w:tc>
        <w:tc>
          <w:tcPr>
            <w:tcW w:w="1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0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mineral resources expenses</w:t>
            </w:r>
          </w:p>
        </w:tc>
        <w:tc>
          <w:tcPr>
            <w:tcW w:w="118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from mineral resources</w:t>
            </w:r>
          </w:p>
        </w:tc>
        <w:tc>
          <w:tcPr>
            <w:tcW w:w="11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5"/>
                <w:szCs w:val="15"/>
                <w:color w:val="auto"/>
              </w:rPr>
            </w:pP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-123190</wp:posOffset>
            </wp:positionV>
            <wp:extent cx="7048500" cy="134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48500" cy="134620"/>
                    </a:xfrm>
                    <a:prstGeom prst="rect">
                      <a:avLst/>
                    </a:prstGeom>
                    <a:noFill/>
                  </pic:spPr>
                </pic:pic>
              </a:graphicData>
            </a:graphic>
          </wp:anchor>
        </w:drawing>
      </w:r>
    </w:p>
    <w:p>
      <w:pPr>
        <w:ind w:left="340" w:hanging="66"/>
        <w:spacing w:after="0" w:line="219" w:lineRule="auto"/>
        <w:tabs>
          <w:tab w:leader="none" w:pos="340" w:val="left"/>
        </w:tabs>
        <w:numPr>
          <w:ilvl w:val="1"/>
          <w:numId w:val="3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main components of the other expenses included general and administrative expenses and depreciation expenses.</w:t>
      </w:r>
    </w:p>
    <w:p>
      <w:pPr>
        <w:spacing w:after="0" w:line="163" w:lineRule="exact"/>
        <w:rPr>
          <w:rFonts w:ascii="Times New Roman" w:cs="Times New Roman" w:eastAsia="Times New Roman" w:hAnsi="Times New Roman"/>
          <w:sz w:val="15"/>
          <w:szCs w:val="15"/>
          <w:color w:val="auto"/>
          <w:vertAlign w:val="superscript"/>
        </w:rPr>
      </w:pPr>
    </w:p>
    <w:p>
      <w:pPr>
        <w:ind w:left="260" w:right="80" w:hanging="255"/>
        <w:spacing w:after="0" w:line="259" w:lineRule="auto"/>
        <w:tabs>
          <w:tab w:leader="none" w:pos="25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revenues were $4,105,000 for the first six months of 2025, a decrease of $416,000, or 9%, from $4,521,000 for the first six months of 2024. The reduction in revenues was primarily attributable to a decline in water sales revenue of $192,000, due to back-to-back above average rainfall years in California. As rainfall levels increased, the demand for supplemental water diminished further, significantly reducing the number of viable sales opportunities, as consecutive wet years led to greater water accumulation and storage among users. Additionally, cement royalties decreased by $212,000 driven by lower production volumes during the year-to-date period. Cement production in California declined in the first half of 2025 due to the continued weakness in construction demand, high interest rates, and reduced infrastructure spending, consistent with broader national trends. Production levels are expected to recover in the second half of 2025 as interest rates are expected to ease and construction activity is expected to improve, although actual results may differ materially due to market or policy changes.</w:t>
      </w:r>
    </w:p>
    <w:p>
      <w:pPr>
        <w:spacing w:after="0" w:line="61" w:lineRule="exact"/>
        <w:rPr>
          <w:rFonts w:ascii="Times New Roman" w:cs="Times New Roman" w:eastAsia="Times New Roman" w:hAnsi="Times New Roman"/>
          <w:sz w:val="14"/>
          <w:szCs w:val="14"/>
          <w:color w:val="auto"/>
        </w:rPr>
      </w:pPr>
    </w:p>
    <w:p>
      <w:pPr>
        <w:ind w:left="260" w:right="260" w:hanging="255"/>
        <w:spacing w:after="0" w:line="287" w:lineRule="auto"/>
        <w:tabs>
          <w:tab w:leader="none" w:pos="25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expenses were $2,875,000 for the first six months of 2025, a decrease of $356,000, or 11%, when compared to the same period in 2024. The decrease was primarily due to a decrease in water cost of sales recognized of $232,000, and a decrease in general and administrative expenses of $124,000 mostly related to a reduction in professional service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-1130300</wp:posOffset>
            </wp:positionV>
            <wp:extent cx="456946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69460" cy="6985"/>
                    </a:xfrm>
                    <a:prstGeom prst="rect">
                      <a:avLst/>
                    </a:prstGeom>
                    <a:noFill/>
                  </pic:spPr>
                </pic:pic>
              </a:graphicData>
            </a:graphic>
          </wp:anchor>
        </w:drawing>
      </w:r>
    </w:p>
    <w:p>
      <w:pPr>
        <w:spacing w:after="0" w:line="27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As anticipated regulatory changes related to groundwater management in California emerge, such as potential limits on groundwater pumping, we believe our water assets will become increasingly important and valuable. These assets include our water banking operations, groundwater recharge programs, and access to water supply contracts, such as those we have acquired in prior periods. We expect these resources will continue to play a critical role in supporting our development projects and may also present opportunities for water sales to third parties.</w:t>
      </w:r>
    </w:p>
    <w:p>
      <w:pPr>
        <w:spacing w:after="0" w:line="40"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4"/>
          <w:szCs w:val="14"/>
          <w:color w:val="auto"/>
        </w:rPr>
        <w:t>All SWP water contracts require annual payments related to the fixed and variable costs of the SWP and each water district, whether or not water is used or available. In addition to surface water supplies, the Company has access to adjudicated groundwater rights, including an annual allocation of 1,634 acre-feet in the Antelope Valley Basin. Portions of our property also have available groundwater, which the Company believes are sufficient to support its commercial development plans along the Interstate 5 corridor and its ongoing agricultural operations.</w:t>
      </w:r>
    </w:p>
    <w:p>
      <w:pPr>
        <w:spacing w:after="0" w:line="15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In Kern County, the Company’s lands span three groundwater basins governed by the Sustainable Groundwater Management Act (SGMA): the Kern Subbasin, the White Wolf Subbasin, and the Castac Basin. Approximately 9% of the Company's Kern County land is within the Kern Subbasin and is primarily used for grazing with minimal water use. In contrast, the White Wolf Subbasin is being sustainably managed, with an approved GSP requiring only minor corrections, while the Castac Basin is a low-priority basin with no anticipated restrictions. The Company believes its diverse mix of surface water supplies, adjudicated groundwater rights, and banked water positions the Company well to navigate evolving regulatory frameworks and meet future water needs.</w:t>
      </w:r>
    </w:p>
    <w:p>
      <w:pPr>
        <w:spacing w:after="0" w:line="8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4"/>
          <w:szCs w:val="14"/>
          <w:color w:val="auto"/>
        </w:rPr>
        <w:t>Prices for oil and natural gas fluctuate in response to 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Production has seen an overall decline in California as a result of regulatory conditions.</w:t>
      </w: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46"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Farming:</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72"/>
        </w:trPr>
        <w:tc>
          <w:tcPr>
            <w:tcW w:w="580" w:type="dxa"/>
            <w:vAlign w:val="bottom"/>
            <w:tcBorders>
              <w:top w:val="single" w:sz="8" w:color="006EBF"/>
            </w:tcBorders>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Farming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Almonds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Hay</w:t>
            </w:r>
          </w:p>
        </w:tc>
        <w:tc>
          <w:tcPr>
            <w:tcW w:w="4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farming revenues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327 %</w:t>
            </w:r>
          </w:p>
        </w:tc>
      </w:tr>
      <w:tr>
        <w:trPr>
          <w:trHeight w:val="171"/>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Water holding costs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384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Other expenses</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farming expenses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172"/>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from farming</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bl>
    <w:p>
      <w:pPr>
        <w:ind w:left="80" w:hanging="61"/>
        <w:spacing w:after="0" w:line="202" w:lineRule="auto"/>
        <w:tabs>
          <w:tab w:leader="none" w:pos="80" w:val="left"/>
        </w:tabs>
        <w:numPr>
          <w:ilvl w:val="1"/>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main components of the other expenses included general and administrative expenses and depreciation expenses.</w:t>
      </w:r>
    </w:p>
    <w:p>
      <w:pPr>
        <w:spacing w:after="0" w:line="128" w:lineRule="exact"/>
        <w:rPr>
          <w:rFonts w:ascii="Times New Roman" w:cs="Times New Roman" w:eastAsia="Times New Roman" w:hAnsi="Times New Roman"/>
          <w:sz w:val="17"/>
          <w:szCs w:val="17"/>
          <w:color w:val="auto"/>
          <w:vertAlign w:val="superscript"/>
        </w:rPr>
      </w:pPr>
    </w:p>
    <w:p>
      <w:pPr>
        <w:ind w:left="260" w:right="20" w:hanging="255"/>
        <w:spacing w:after="0" w:line="270" w:lineRule="auto"/>
        <w:tabs>
          <w:tab w:leader="none" w:pos="25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revenues totaled $607,000 for the three months ended June 30, 2025, an increase of $465,000, or 327%, compared to $142,000 for the same period in 2024. The increase was primarily attributed to $425,000 in revenue from the sale of almond carryover crop during the current period. Approximately 156,000 pounds of almonds were sold during the three months ended June 30, 2025, whereas no almond sales occurred in the comparable period in 2024.</w:t>
      </w:r>
    </w:p>
    <w:p>
      <w:pPr>
        <w:spacing w:after="0" w:line="50" w:lineRule="exact"/>
        <w:rPr>
          <w:rFonts w:ascii="Times New Roman" w:cs="Times New Roman" w:eastAsia="Times New Roman" w:hAnsi="Times New Roman"/>
          <w:sz w:val="14"/>
          <w:szCs w:val="14"/>
          <w:color w:val="auto"/>
        </w:rPr>
      </w:pPr>
    </w:p>
    <w:p>
      <w:pPr>
        <w:jc w:val="both"/>
        <w:ind w:left="260" w:right="320" w:hanging="255"/>
        <w:spacing w:after="0" w:line="270" w:lineRule="auto"/>
        <w:tabs>
          <w:tab w:leader="none" w:pos="25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expenses were $1,497,000 for the three months ended June 30, 2025, an increase of $410,000, or 38%, from $1,087,000 during the same period in 2024. This increase was primarily due to an increase of $407,000 in almond cost of sales recognized in the period associated with higher crop sales volume. Additionally, water holding costs decreased by $125,000, partially offset by an increase in other expenses of $128,000 mostly due to increases in depreciation expense and utility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-901065</wp:posOffset>
            </wp:positionV>
            <wp:extent cx="472948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29480" cy="698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89"/>
              <w:spacing w:after="0"/>
              <w:rPr>
                <w:sz w:val="20"/>
                <w:szCs w:val="20"/>
                <w:color w:val="auto"/>
              </w:rPr>
            </w:pPr>
            <w:r>
              <w:rPr>
                <w:rFonts w:ascii="Times New Roman" w:cs="Times New Roman" w:eastAsia="Times New Roman" w:hAnsi="Times New Roman"/>
                <w:sz w:val="11"/>
                <w:szCs w:val="11"/>
                <w:color w:val="auto"/>
              </w:rPr>
              <w:t>Six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color w:val="auto"/>
              </w:rPr>
              <w:t>Change</w:t>
            </w:r>
          </w:p>
        </w:tc>
        <w:tc>
          <w:tcPr>
            <w:tcW w:w="1160" w:type="dxa"/>
            <w:vAlign w:val="bottom"/>
            <w:tcBorders>
              <w:bottom w:val="single" w:sz="8" w:color="auto"/>
            </w:tcBorders>
          </w:tcPr>
          <w:p>
            <w:pPr>
              <w:spacing w:after="0"/>
              <w:rPr>
                <w:sz w:val="16"/>
                <w:szCs w:val="16"/>
                <w:color w:val="auto"/>
              </w:rPr>
            </w:pP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2025</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Farming revenues</w:t>
            </w: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Almonds</w:t>
            </w:r>
          </w:p>
        </w:tc>
        <w:tc>
          <w:tcPr>
            <w:tcW w:w="1260" w:type="dxa"/>
            <w:vAlign w:val="bottom"/>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156 %</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Pistachios</w:t>
            </w: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Hay</w:t>
            </w:r>
          </w:p>
        </w:tc>
        <w:tc>
          <w:tcPr>
            <w:tcW w:w="1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7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farming revenues</w:t>
            </w:r>
          </w:p>
        </w:tc>
        <w:tc>
          <w:tcPr>
            <w:tcW w:w="1260" w:type="dxa"/>
            <w:vAlign w:val="bottom"/>
            <w:tcBorders>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r>
      <w:tr>
        <w:trPr>
          <w:trHeight w:val="171"/>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Water holding costs</w:t>
            </w:r>
          </w:p>
        </w:tc>
        <w:tc>
          <w:tcPr>
            <w:tcW w:w="1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384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Other expenses</w:t>
            </w:r>
            <w:r>
              <w:rPr>
                <w:rFonts w:ascii="Times New Roman" w:cs="Times New Roman" w:eastAsia="Times New Roman" w:hAnsi="Times New Roman"/>
                <w:sz w:val="18"/>
                <w:szCs w:val="18"/>
                <w:color w:val="auto"/>
                <w:vertAlign w:val="superscript"/>
              </w:rPr>
              <w:t>1</w:t>
            </w:r>
          </w:p>
        </w:tc>
        <w:tc>
          <w:tcPr>
            <w:tcW w:w="1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17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farming expenses</w:t>
            </w:r>
          </w:p>
        </w:tc>
        <w:tc>
          <w:tcPr>
            <w:tcW w:w="1260" w:type="dxa"/>
            <w:vAlign w:val="bottom"/>
            <w:tcBorders>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w:t>
            </w:r>
          </w:p>
        </w:tc>
        <w:tc>
          <w:tcPr>
            <w:tcW w:w="1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from farming</w:t>
            </w: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5"/>
                <w:szCs w:val="15"/>
                <w:color w:val="auto"/>
              </w:rPr>
            </w:pP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27875" cy="107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ind w:left="80" w:hanging="61"/>
        <w:spacing w:after="0" w:line="198" w:lineRule="auto"/>
        <w:tabs>
          <w:tab w:leader="none" w:pos="80" w:val="left"/>
        </w:tabs>
        <w:numPr>
          <w:ilvl w:val="1"/>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main components of the other expenses included general and administrative expenses and depreciation expenses.</w:t>
      </w:r>
    </w:p>
    <w:p>
      <w:pPr>
        <w:spacing w:after="0" w:line="149" w:lineRule="exact"/>
        <w:rPr>
          <w:rFonts w:ascii="Times New Roman" w:cs="Times New Roman" w:eastAsia="Times New Roman" w:hAnsi="Times New Roman"/>
          <w:sz w:val="17"/>
          <w:szCs w:val="17"/>
          <w:color w:val="auto"/>
          <w:vertAlign w:val="superscript"/>
        </w:rPr>
      </w:pPr>
    </w:p>
    <w:p>
      <w:pPr>
        <w:ind w:left="260" w:right="220" w:hanging="255"/>
        <w:spacing w:after="0" w:line="270"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revenues were $2,163,000 for the first six months of 2025, an increase of $1,156,000, or 115%, from $1,007,000 during the same period in 2024. The increase was primarily attributed to $1,157,000 in almond carryover crop revenues in the current period. Approximately 727,000 pounds of almonds were sold during the six months ended June 30, 2025, whereas 381,000 almond sales occurred in the comparable period in 2024.</w:t>
      </w:r>
    </w:p>
    <w:p>
      <w:pPr>
        <w:spacing w:after="0" w:line="50" w:lineRule="exact"/>
        <w:rPr>
          <w:rFonts w:ascii="Times New Roman" w:cs="Times New Roman" w:eastAsia="Times New Roman" w:hAnsi="Times New Roman"/>
          <w:sz w:val="14"/>
          <w:szCs w:val="14"/>
          <w:color w:val="auto"/>
        </w:rPr>
      </w:pPr>
    </w:p>
    <w:p>
      <w:pPr>
        <w:ind w:left="260" w:right="280" w:hanging="255"/>
        <w:spacing w:after="0" w:line="270" w:lineRule="auto"/>
        <w:tabs>
          <w:tab w:leader="none" w:pos="2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expenses were $4,045,000 for the first six months of 2025, an increase of $891,000, or 28%, from $3,154,000 compared to the same period in 2024. Increases in the current period expenses were primarily due to the higher almond carryover crop cost of sales over the comparative period associated with higher crop sales volume. Other expenses increased by $273,000 mostly related to additional depreciation, utility costs and professional services expenses.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39" w:name="page40"/>
    <w:bookmarkEnd w:id="39"/>
    <w:p>
      <w:pPr>
        <w:ind w:right="300"/>
        <w:spacing w:after="0" w:line="264" w:lineRule="auto"/>
        <w:rPr>
          <w:sz w:val="20"/>
          <w:szCs w:val="20"/>
          <w:color w:val="auto"/>
        </w:rPr>
      </w:pPr>
      <w:r>
        <w:rPr>
          <w:rFonts w:ascii="Times New Roman" w:cs="Times New Roman" w:eastAsia="Times New Roman" w:hAnsi="Times New Roman"/>
          <w:sz w:val="14"/>
          <w:szCs w:val="14"/>
          <w:color w:val="auto"/>
        </w:rPr>
        <w:t>Our almond, pistachio, and wine grape crop sales are subject to significant seasonality, with the majority of sales typically occurring during the third and fourth quarters of the year. Almonds and pistachios are generally sold at prevailing market prices, while wine grapes are sold under contracted pricing arrangements with wineries. It is too early in the production cycle for 2025 to have a subjective estimate of potential production for almonds, grapes, and pistachios. In 2025, the Company's crop segmentation in its farming division will include the planting of an olive orchard, diversifying the Company's commodity products and best positioning the Company for market changes.</w:t>
      </w:r>
    </w:p>
    <w:p>
      <w:pPr>
        <w:spacing w:after="0" w:line="151"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4"/>
          <w:szCs w:val="14"/>
          <w:color w:val="auto"/>
        </w:rPr>
        <w:t>The USDA's Objective Forecast for the 2025 California almond crop dated July 10, 2025, projects total production of 3.0 billion pounds, representing a 7% increase from the USDA's Subjective Forecast dated May 12, 2025, and a 10% increase compared to the 2024 crop of 2.73 billion pounds. We believe this projected increase in supply may place downward pressure on almond pricing during the 2025 crop year. While certain regions of California reported pollination challenges due to significant honeybee colony losses and resulting hive shortages, these issues did not materially impact the Company's pollination activities during the critical pollination period. However, adverse effects on yields in other growing regions could influence overall market dynamics. In addition, recently announced U.S. trade measures have raised the risk of retaliatory tariffs by major export partners, including the European Union, India, and China, which may negatively affect export demand and contribute to further pricing pressure.</w:t>
      </w:r>
    </w:p>
    <w:p>
      <w:pPr>
        <w:spacing w:after="0" w:line="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Weather conditions can significantly affect the number of chill hours and chill portions accumulated during dormancy, both of which are critical to tree and vine development. In early 2025, California experienced an unusually warm winter, resulting in insufficient chill accumulation across major agricultural regions. Pistachio orchards were particularly impacted, and this deficiency may contribute to reduced yields. Additionally, late winter and early spring rainstorms disrupted standard field operations, including the timely application of pesticides and dormancy-breaking treatments. These weather-related delays may affect crop management schedules and overall productivity; however, the extent of the impact on 2025 production levels will not be fully known until the summer growing season progresses.</w:t>
      </w:r>
    </w:p>
    <w:p>
      <w:pPr>
        <w:spacing w:after="0" w:line="48"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Labor costs, both internal and through labor contractors, continue to increase and the Company expects this trend to continue over the near future. The Company utilizes external labor contractors, as necessary, for large projects, such as pruning and harvesting, as a way to manage our labor needs. From a broader inflationary standpoint, the Company continues to expect an increase in production costs, most notably chemicals such as herbicides and pesticides, and fuel costs.</w:t>
      </w:r>
    </w:p>
    <w:p>
      <w:pPr>
        <w:spacing w:after="0" w:line="30"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Ranch Operations: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3"/>
        </w:trPr>
        <w:tc>
          <w:tcPr>
            <w:tcW w:w="1160" w:type="dxa"/>
            <w:vAlign w:val="bottom"/>
            <w:tcBorders>
              <w:top w:val="single" w:sz="8" w:color="006EBF"/>
            </w:tcBorders>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80" w:type="dxa"/>
            <w:vAlign w:val="bottom"/>
          </w:tcPr>
          <w:p>
            <w:pPr>
              <w:spacing w:after="0"/>
              <w:rPr>
                <w:sz w:val="18"/>
                <w:szCs w:val="18"/>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18"/>
                <w:szCs w:val="18"/>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Game management and other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Grazing</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71"/>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 expense</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80"/>
        </w:trPr>
        <w:tc>
          <w:tcPr>
            <w:tcW w:w="3840" w:type="dxa"/>
            <w:vAlign w:val="bottom"/>
            <w:tcBorders>
              <w:bottom w:val="single" w:sz="8" w:color="CCEEFF"/>
            </w:tcBorders>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Other expenses</w:t>
            </w:r>
            <w:r>
              <w:rPr>
                <w:rFonts w:ascii="Times New Roman" w:cs="Times New Roman" w:eastAsia="Times New Roman" w:hAnsi="Times New Roman"/>
                <w:sz w:val="18"/>
                <w:szCs w:val="18"/>
                <w:color w:val="auto"/>
                <w:vertAlign w:val="superscript"/>
              </w:rPr>
              <w:t>2</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expenses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7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loss from ranch operations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-1905</wp:posOffset>
            </wp:positionV>
            <wp:extent cx="472948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29480" cy="6985"/>
                    </a:xfrm>
                    <a:prstGeom prst="rect">
                      <a:avLst/>
                    </a:prstGeom>
                    <a:noFill/>
                  </pic:spPr>
                </pic:pic>
              </a:graphicData>
            </a:graphic>
          </wp:anchor>
        </w:drawing>
      </w:r>
    </w:p>
    <w:p>
      <w:pPr>
        <w:ind w:left="80" w:hanging="61"/>
        <w:spacing w:after="0" w:line="219" w:lineRule="auto"/>
        <w:tabs>
          <w:tab w:leader="none" w:pos="80" w:val="left"/>
        </w:tabs>
        <w:numPr>
          <w:ilvl w:val="1"/>
          <w:numId w:val="3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Game management and other revenues consist of revenues from hunting, filming, High Desert Hunt Club (a premier upland bird hunting club), and other ancillary activities.</w:t>
      </w:r>
    </w:p>
    <w:p>
      <w:pPr>
        <w:spacing w:after="0" w:line="24" w:lineRule="exact"/>
        <w:rPr>
          <w:rFonts w:ascii="Times New Roman" w:cs="Times New Roman" w:eastAsia="Times New Roman" w:hAnsi="Times New Roman"/>
          <w:sz w:val="15"/>
          <w:szCs w:val="15"/>
          <w:color w:val="auto"/>
          <w:vertAlign w:val="superscript"/>
        </w:rPr>
      </w:pPr>
    </w:p>
    <w:p>
      <w:pPr>
        <w:ind w:left="20"/>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The main components of the other expenses included amortization and depreciation expenses.</w:t>
      </w:r>
    </w:p>
    <w:p>
      <w:pPr>
        <w:spacing w:after="0" w:line="116" w:lineRule="exact"/>
        <w:rPr>
          <w:rFonts w:ascii="Times New Roman" w:cs="Times New Roman" w:eastAsia="Times New Roman" w:hAnsi="Times New Roman"/>
          <w:sz w:val="15"/>
          <w:szCs w:val="15"/>
          <w:color w:val="auto"/>
          <w:vertAlign w:val="superscript"/>
        </w:rPr>
      </w:pPr>
    </w:p>
    <w:p>
      <w:pPr>
        <w:jc w:val="both"/>
        <w:ind w:left="260" w:right="180" w:hanging="255"/>
        <w:spacing w:after="0" w:line="270" w:lineRule="auto"/>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revenues totaled $1,083,000 for the three months ended June 30, 2025, representing an increase of $118,000, or 12%, compared to $965,000 for the same period in 2024. The increase was primarily driven by a $101,000 rise in game management and other revenues, largely attributable to higher guided hunt revenues and increased revenue recognized from the High Desert Hunt Club.</w:t>
      </w:r>
    </w:p>
    <w:p>
      <w:pPr>
        <w:spacing w:after="0" w:line="29" w:lineRule="exact"/>
        <w:rPr>
          <w:rFonts w:ascii="Times New Roman" w:cs="Times New Roman" w:eastAsia="Times New Roman" w:hAnsi="Times New Roman"/>
          <w:sz w:val="14"/>
          <w:szCs w:val="14"/>
          <w:color w:val="auto"/>
        </w:rPr>
      </w:pPr>
    </w:p>
    <w:p>
      <w:pPr>
        <w:ind w:left="260" w:right="160" w:hanging="255"/>
        <w:spacing w:after="0" w:line="271" w:lineRule="auto"/>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expenses were $1,335,000 for the three months ended June 30, 2025, an increase of $74,000, or 6%, from $1,261,000 for the same period in 2024. The increase was primarily attributable to higher operating expenses of $122,000, mostly related to higher repairs and maintenance costs of $77,000.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-874395</wp:posOffset>
            </wp:positionV>
            <wp:extent cx="7161530" cy="1009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color w:val="auto"/>
              </w:rPr>
              <w:t>Six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color w:val="auto"/>
              </w:rPr>
              <w:t>Change</w:t>
            </w:r>
          </w:p>
        </w:tc>
        <w:tc>
          <w:tcPr>
            <w:tcW w:w="1040" w:type="dxa"/>
            <w:vAlign w:val="bottom"/>
            <w:tcBorders>
              <w:bottom w:val="single" w:sz="8" w:color="auto"/>
            </w:tcBorders>
          </w:tcPr>
          <w:p>
            <w:pPr>
              <w:spacing w:after="0"/>
              <w:rPr>
                <w:sz w:val="16"/>
                <w:szCs w:val="16"/>
                <w:color w:val="auto"/>
              </w:rPr>
            </w:pPr>
          </w:p>
        </w:tc>
      </w:tr>
      <w:tr>
        <w:trPr>
          <w:trHeight w:val="17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47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Game management and other </w:t>
            </w:r>
            <w:r>
              <w:rPr>
                <w:rFonts w:ascii="Times New Roman" w:cs="Times New Roman" w:eastAsia="Times New Roman" w:hAnsi="Times New Roman"/>
                <w:sz w:val="18"/>
                <w:szCs w:val="18"/>
                <w:color w:val="auto"/>
                <w:vertAlign w:val="superscript"/>
              </w:rPr>
              <w:t>1</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0"/>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Grazing</w:t>
            </w: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7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revenues</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71"/>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1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 expense</w:t>
            </w: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474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expenses </w:t>
            </w:r>
            <w:r>
              <w:rPr>
                <w:rFonts w:ascii="Times New Roman" w:cs="Times New Roman" w:eastAsia="Times New Roman" w:hAnsi="Times New Roman"/>
                <w:sz w:val="18"/>
                <w:szCs w:val="18"/>
                <w:color w:val="auto"/>
                <w:vertAlign w:val="superscript"/>
              </w:rPr>
              <w:t>2</w:t>
            </w: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expenses</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75"/>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from ranch operations</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5"/>
                <w:szCs w:val="15"/>
                <w:color w:val="auto"/>
              </w:rPr>
            </w:pPr>
          </w:p>
        </w:tc>
        <w:tc>
          <w:tcPr>
            <w:tcW w:w="11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ind w:left="100" w:hanging="81"/>
        <w:spacing w:after="0" w:line="224" w:lineRule="auto"/>
        <w:tabs>
          <w:tab w:leader="none" w:pos="100" w:val="left"/>
        </w:tabs>
        <w:numPr>
          <w:ilvl w:val="1"/>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Game management and other revenues consist of revenues from hunting, filming, high desert hunt club (a premier upland bird hunting club), and other ancillary activities.</w:t>
      </w:r>
    </w:p>
    <w:p>
      <w:pPr>
        <w:spacing w:after="0" w:line="29" w:lineRule="exact"/>
        <w:rPr>
          <w:rFonts w:ascii="Times New Roman" w:cs="Times New Roman" w:eastAsia="Times New Roman" w:hAnsi="Times New Roman"/>
          <w:sz w:val="17"/>
          <w:szCs w:val="17"/>
          <w:color w:val="auto"/>
          <w:vertAlign w:val="superscript"/>
        </w:rPr>
      </w:pPr>
    </w:p>
    <w:p>
      <w:pPr>
        <w:ind w:left="2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The main components of the other expenses included amortization and depreciation expenses.</w:t>
      </w:r>
    </w:p>
    <w:p>
      <w:pPr>
        <w:spacing w:after="0" w:line="11" w:lineRule="exact"/>
        <w:rPr>
          <w:rFonts w:ascii="Times New Roman" w:cs="Times New Roman" w:eastAsia="Times New Roman" w:hAnsi="Times New Roman"/>
          <w:sz w:val="17"/>
          <w:szCs w:val="17"/>
          <w:color w:val="auto"/>
          <w:vertAlign w:val="superscript"/>
        </w:rPr>
      </w:pPr>
    </w:p>
    <w:p>
      <w:pPr>
        <w:jc w:val="both"/>
        <w:ind w:left="260" w:right="60" w:hanging="255"/>
        <w:spacing w:after="0" w:line="253" w:lineRule="auto"/>
        <w:tabs>
          <w:tab w:leader="none" w:pos="2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revenues totaled $2,387,000 for the first six months of 2025, an increase of $315,000, or 15%, compared to $2,072,000 for the same period in 2024. The increase was primarily attributable to an increase in game management and other revenue of $267,000, primarily attributed to higher guided hunt revenues and increased revenue recognized from the High Desert Hunt Club.</w:t>
      </w:r>
    </w:p>
    <w:p>
      <w:pPr>
        <w:spacing w:after="0" w:line="63" w:lineRule="exact"/>
        <w:rPr>
          <w:rFonts w:ascii="Times New Roman" w:cs="Times New Roman" w:eastAsia="Times New Roman" w:hAnsi="Times New Roman"/>
          <w:sz w:val="14"/>
          <w:szCs w:val="14"/>
          <w:color w:val="auto"/>
        </w:rPr>
      </w:pPr>
    </w:p>
    <w:p>
      <w:pPr>
        <w:ind w:left="260" w:right="640" w:hanging="255"/>
        <w:spacing w:after="0" w:line="287" w:lineRule="auto"/>
        <w:tabs>
          <w:tab w:leader="none" w:pos="2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expenses were $2,608,000 for the first six months of 2025, an increase of $120,000, or 5%, from $2,488,000 for the same period in 2024. This increase was primarily attributable to higher operating expenses of $128,000 mainly associated with additional repairs and maintenance expenses of $62,000 and higher property taxes of $32,000.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Corporate and Other:</w:t>
      </w:r>
    </w:p>
    <w:p>
      <w:pPr>
        <w:spacing w:after="0" w:line="8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Corporate general and administrative costs were $4,900,000 for the three months ended June 30, 2025, an increase of $1,543,000, from $3,357,000 for the same period in 2024. The increase was primarily attributable to the additional professional fees and consulting expenses incurred during the period of $2,316,000 to defend the Company and its long-term strategy from a dissident proxy campaign that required significant engagement with shareholders and external advisors. The main components of the 2025 corporate expenses included compensation expenses of $1,939,000 and other expenses of $2,961,000. Other expenses include proxy defense related costs, professional services fees, licenses and fees, and depreciation expenses.</w:t>
      </w:r>
    </w:p>
    <w:p>
      <w:pPr>
        <w:spacing w:after="0" w:line="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Corporate general and administrative costs were $9,136,000 for the first six months of 2025, an increase of $3,287,000, or 56%, from $5,849,000 for the same period in 2024. The increase was primarily due to the $3,399,000 incurred for the proxy defense related cost mentioned above during the six months ended June 30, 2025. Additionally, the Company incurred an increase of $507,000 in compensation expenses over the comparative period due to a prorated bonus earned by an outgoing executive in connection with his retirement on March 31, 2025. The main components of the 2025 corporate expenses included compensation expenses of $4,607,000 and other expenses of $4,529,000. Other expenses include proxy defense related costs, professional services fees, licenses and fees, and depreciation expenses.</w:t>
      </w:r>
    </w:p>
    <w:p>
      <w:pPr>
        <w:spacing w:after="0" w:line="4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Total other income was $222,000 for the three months ended June 30, 2025, a decrease of $337,000 from $559,000 for the same period in 2024, primarily due to lower investment income as a result of a decrease in marketable securities balance.</w:t>
      </w:r>
    </w:p>
    <w:p>
      <w:pPr>
        <w:spacing w:after="0" w:line="2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Total other income was $492,000 for the six months ended June 30, 2025, a decrease of $682,000, from $1,174,000 for the same period in 2024. The decrease was primarily attributable to lower investment income driven by a decrease in marketable securities balance.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Joint Ventures: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51"/>
        </w:trPr>
        <w:tc>
          <w:tcPr>
            <w:tcW w:w="920" w:type="dxa"/>
            <w:vAlign w:val="bottom"/>
            <w:tcBorders>
              <w:top w:val="single" w:sz="8" w:color="006EBF"/>
            </w:tcBorders>
          </w:tcPr>
          <w:p>
            <w:pPr>
              <w:spacing w:after="0"/>
              <w:rPr>
                <w:sz w:val="24"/>
                <w:szCs w:val="24"/>
                <w:color w:val="auto"/>
              </w:rPr>
            </w:pPr>
          </w:p>
        </w:tc>
        <w:tc>
          <w:tcPr>
            <w:tcW w:w="2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 earnings (loss)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1,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TRC-MRC 2,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3,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TRC-MRC 4,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5, LLC</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equity in earnings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60" w:right="40" w:hanging="255"/>
        <w:spacing w:after="0" w:line="260"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was $2,555,000 for the three months ended June 30, 2025, a decrease of $214,000, from $2,769,000 during the same period in 2024. The decrease was primarily attributable to a reduction in equity in earnings recorded for the TA/Petro joint venture of approximately $285,000 driven by a 7% decline in nonfuel gross margins and a 10% increase in operating expense compared to the same period in 2024. Equity in loss from TRCC/Rock Outlet Center LLC joint venture increased by $166,000 compared to the prior period, primarily due to a decrease in contingent rental income resulting from reduced consumer traffic in the first half of 2025, relative to the same period in 2024. Equity in earnings for our TRC-MRC, LLC joint ventures increased due to higher rental rates or rental escalations, except for a decrease in TRC-MRC 4, LLC equity in earnings as a result of an insurance reimbursement in prior year which did not reoccur in 2025.</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June 30,</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Borders>
              <w:bottom w:val="single" w:sz="8" w:color="auto"/>
            </w:tcBorders>
          </w:tcPr>
          <w:p>
            <w:pPr>
              <w:spacing w:after="0"/>
              <w:rPr>
                <w:sz w:val="16"/>
                <w:szCs w:val="16"/>
                <w:color w:val="auto"/>
              </w:rPr>
            </w:pP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earnings (loss)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1,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TRC-MRC 2,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3,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TRC-MRC 4,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5, LLC</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 in earnings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
        </w:trPr>
        <w:tc>
          <w:tcPr>
            <w:tcW w:w="3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60" w:right="40" w:hanging="255"/>
        <w:spacing w:after="0" w:line="261" w:lineRule="auto"/>
        <w:tabs>
          <w:tab w:leader="none" w:pos="2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was $3,713,000 for the six months ended June 30, 2025, a decrease of $569,000, or 13%, from $4,282,000 during the same period in 2024. The decrease was primarily attributable to a reduction in equity in earnings recorded for the TA/Petro joint venture of approximately $595,000 driven by a 7.6% decline in nonfuel gross margins and a 10.9% increase in operating expense compared to the same period in 2024. Equity in loss from TRCC/Rock Outlet Center LLC joint venture increased by $235,000 compared to the prior period, due to a decrease in contingent rental income resulting from reduced consumer traffic in the first half of 2025, relative to the same period in 2024. Equity in earnings for TRC-MRC 4, LLC decreased as a result of an insurance reimbursement in prior year, and for TRC-MRC 5, LLC decreased due to higher property taxes compared with the prior year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"Non-GAAP Financial Measures" for further financial discussion of the results of our joint ventures.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General Outlook</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operations are seasonal and future results of operations cannot reliably be predicted based on quarterly results. Historically, our largest percentage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6" w:right="319" w:bottom="1440" w:gutter="0" w:footer="0" w:header="0"/>
        </w:sectPr>
      </w:pPr>
    </w:p>
    <w:bookmarkStart w:id="42" w:name="page43"/>
    <w:bookmarkEnd w:id="42"/>
    <w:p>
      <w:pPr>
        <w:ind w:right="360"/>
        <w:spacing w:after="0" w:line="270" w:lineRule="auto"/>
        <w:rPr>
          <w:sz w:val="20"/>
          <w:szCs w:val="20"/>
          <w:color w:val="auto"/>
        </w:rPr>
      </w:pPr>
      <w:r>
        <w:rPr>
          <w:rFonts w:ascii="Times New Roman" w:cs="Times New Roman" w:eastAsia="Times New Roman" w:hAnsi="Times New Roman"/>
          <w:sz w:val="14"/>
          <w:szCs w:val="14"/>
          <w:color w:val="auto"/>
        </w:rPr>
        <w:t>For further discussion of the risks and uncertainties that could potentially adversely affect us, please refer to Part I, Item 7 – “Management’s Discussion and Analysis of Financial Condition and Results of Operations” in our Annual Report on Form 10-K for the year ended December 31, 2024, or Annual Report, and to Part I, Item 1A - "Risk Factors" of our Annual Report. For further discussion, please refer to Note 11 (Commitments and Contingencies) of the Notes to Unaudited Consolidated Financial Statements in this report.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Income Taxes</w:t>
      </w:r>
    </w:p>
    <w:p>
      <w:pPr>
        <w:spacing w:after="0" w:line="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For the six months ended June 30, 2025, we had an income tax benefit of $837,000 compared to $2,118,000 for the six months ended June 30, 2024. The effective tax rates approximated 21% and 102% for the six months ended June 30, 2025 and 2024, respectively. As of June 30, 2025, the Company had income taxes receivable of $2,435,000. We classify interest and penalties incurred on tax payments as income tax expenses.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Cash Flow and Liquidity</w:t>
      </w:r>
    </w:p>
    <w:p>
      <w:pPr>
        <w:spacing w:after="0" w:line="7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financial position allows us to pursue our strategies of continued development of TRCC, funding of operating activities,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45"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To enhance long-term shareholder value, we expect to continue allocating capital toward vertical development within our active commercial and industrial portfolio, including construction on Terra Vista at Tejon, our new multi-family apartment community located immediately adjacent to the Outlets at Tejon. The majority of our capital investment is expected to remain concentrated at TRCC, where we are expanding the footprint of our commercial and industrial operations through vertical development, infrastructure improvements, and the construction of assets intended for lease.</w:t>
      </w:r>
    </w:p>
    <w:p>
      <w:pPr>
        <w:spacing w:after="0" w:line="40"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4"/>
          <w:szCs w:val="14"/>
          <w:color w:val="auto"/>
        </w:rPr>
        <w:t>We will also invest, as needed, across our real estate segments to secure land entitlement approvals, ensure access to adequate water supplies, and support general land development activities. In our farming segment, we plan to invest selectively in operational improvements and capacity enhancements when supported by market conditions and expected profitability.</w:t>
      </w:r>
    </w:p>
    <w:p>
      <w:pPr>
        <w:spacing w:after="0" w:line="18"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4"/>
          <w:szCs w:val="14"/>
          <w:color w:val="auto"/>
        </w:rPr>
        <w:t>Our cash, cash equivalents and marketable securities totaled approximately $20,054,000 as of June 30, 2025, a decrease of $33,654,000 from $53,708,000 as of December 31, 2024, due primarily to funding of construction on the Terra Vista at Tejon multi-family apartment community.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our cash flow activities for the six months ended June 30,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center"/>
              <w:ind w:left="789"/>
              <w:spacing w:after="0"/>
              <w:rPr>
                <w:sz w:val="20"/>
                <w:szCs w:val="20"/>
                <w:color w:val="auto"/>
              </w:rPr>
            </w:pPr>
            <w:r>
              <w:rPr>
                <w:rFonts w:ascii="Times New Roman" w:cs="Times New Roman" w:eastAsia="Times New Roman" w:hAnsi="Times New Roman"/>
                <w:sz w:val="14"/>
                <w:szCs w:val="14"/>
                <w:color w:val="auto"/>
              </w:rPr>
              <w:t>(1,026)</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(49,551)</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center"/>
              <w:ind w:left="789"/>
              <w:spacing w:after="0"/>
              <w:rPr>
                <w:sz w:val="20"/>
                <w:szCs w:val="20"/>
                <w:color w:val="auto"/>
              </w:rPr>
            </w:pPr>
            <w:r>
              <w:rPr>
                <w:rFonts w:ascii="Times New Roman" w:cs="Times New Roman" w:eastAsia="Times New Roman" w:hAnsi="Times New Roman"/>
                <w:sz w:val="14"/>
                <w:szCs w:val="14"/>
                <w:color w:val="auto"/>
              </w:rPr>
              <w:t>(1,643)</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3,794</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8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During the first six months of 2025, our operations used $1,726,000, largely attributable to cash used to settle our current liabilities balance including liability related to stock compensation awards of $1,831,000.</w:t>
      </w:r>
    </w:p>
    <w:p>
      <w:pPr>
        <w:spacing w:after="0" w:line="1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During the first six months of 2024, our operations used $1,026,000. Our operating assets were increased by using $1,104,000 of cash, and our current liabilities were reduced by using $452,000 of cash. Partially offsetting the above-mentioned cash usages was cash distribution from unconsolidated joint ventures of $674,000.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first six months of 2025, investing activities used $49,551,000. The increase in investing activities is primarily related to the construction of Terra Vista at Tejon, and we expect the costs to continue throughout 2025 for the first phase of this multi-family project.</w:t>
      </w:r>
    </w:p>
    <w:p>
      <w:pPr>
        <w:spacing w:after="0" w:line="1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We made capital expenditures, inclusive of capitalized interest and payroll (exclusive of stock compensation), of $37,146,000 for real estate development. At TRCC, we spent $22,850,000 of construction cost on Terra Visa at Tejon and $5,663,000 on infrastructure improvements at TRCC-East. We also spent $1,469,000 and $1,073,000 on permitting efforts for MV and Grapevine, respectively, and $1,863,000 on litigation defense for Centennial. Within our farming segment, we spent $3,752,000, which included cultural costs for orchards currently classified as under development and replacement of machinery and equipment. Additionally, we used $9,519,000 to acquire water assets. We had marketable securities of $23,655,000 that matured, and we reinvested $26,652,000. Lastly, we received proceeds of $310,000 from joint venture distributions.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During the first six months of 2024, investing activities used $1,643,000. We made capital expenditures, inclusive of capitalized interest and payroll (exclusive of stock compensation), of</w:t>
      </w:r>
    </w:p>
    <w:p>
      <w:pPr>
        <w:spacing w:after="0" w:line="2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$22,077,000, which included predevelopment activities for our master planned communities, $1,256,000 consisting of permitting efforts for MV, $696,000 consisting of permitting efforts for Grapevine, and costs related to litigation defense for Centennial of $2,148,000. At TRCC, we spent $6,768,000 of construction cost on Terra Visa at Tejon and $6,998,000 on infrastructure improvements at TRCC-East. Within our farming segment, we spent $3,317,000, which included cultural costs for orchards currently classified as under development and replacement of machinery and equipment. Additionally, we used $5,066,000 to acquire water assets. We had marketable securities of $76,869,000 that matured, and we reinvested $60,500,000. Lastly, we received proceeds of $5,811,000 from joint venture distributions and reimbursements of $3,309,000 from a Community Facilities District.</w:t>
      </w:r>
    </w:p>
    <w:p>
      <w:pPr>
        <w:spacing w:after="0" w:line="4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2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estimated capital investment, inclusive of capitalized interest and payroll, for the remainder of 2025 is primarily related to our real estate projects. These estimated investments include approximately $6,807,000 of construction costs for the Terra Vista at Tejon multi-family project phase 1 development and $5,000,000 of infrastructure development at TRCC-East to support the continued commercial retail and industrial development, water treatment system improvements, and expansion of the wastewater treatment plant for future anticipated absorption. We also expect to invest up to $4,186,000 for land planning, litigation/appeals, federal and state agency permitting activities, and development activities at MV, Centennial, and Grapevine during the remainder of 2025.</w:t>
      </w:r>
    </w:p>
    <w:p>
      <w:pPr>
        <w:spacing w:after="0" w:line="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six months ended June 30, 2025 and 2024, was $1,961,000 and $2,009,000, respectively, and is classified within real estate development. We also capitalized payroll costs related to development, pre-construction, and construction projects, which aggregated $1,098,000 and $1,493,000 for the six months ended June 30, 2025 and 2024, respectively. Expenditures for repairs and maintenance are expensed as incurred.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85"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During the first six months of 2025, financing activities provided $14,510,000, which was attributable to borrowings on the line of credit of $15,000,000 to fund construction projects and other ongoing development such as Terra Vista and TRCC infrastructure, partially offset by the tax payments on vested share grants of $490,000.</w:t>
      </w:r>
    </w:p>
    <w:p>
      <w:pPr>
        <w:spacing w:after="0" w:line="2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During the first six months of 2024, financing activities provided $3,794,000, which was attributable to borrowings on the line of credit of $4,000,000, partially offset by the tax payments on vested share grants of $206,000.</w:t>
      </w:r>
    </w:p>
    <w:p>
      <w:pPr>
        <w:spacing w:after="0" w:line="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 twelve months to fund internal operations. As we move forward with the completion of the litigation, permitting and engineering design for our master planned communities and prepare to move into the development stage, we may need to secure additional funding in the long-term through either the issuance of equity and/or by securing other forms of financing such as joint venture equity and debt financing.</w:t>
      </w:r>
    </w:p>
    <w:p>
      <w:pPr>
        <w:spacing w:after="0" w:line="4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regularly evaluate our short-term and long-term capital investment needs. Based on the timing of capital investments, we may supplement our current cash, marketable securities, and operational funding sources through the sale of common stock and/or the incurrence of additional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Capital Structure and Financial Condition</w:t>
      </w:r>
    </w:p>
    <w:p>
      <w:pPr>
        <w:spacing w:after="0" w:line="8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At June 30, 2025, total capitalization at book value was $568,833,000, consisting of $81,942,000 of debt and $486,891,000 of equity, resulting in a debt-to-total-capitalization ratio of approximately 14.4%.</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4" w:name="page45"/>
    <w:bookmarkEnd w:id="44"/>
    <w:p>
      <w:pPr>
        <w:ind w:right="200"/>
        <w:spacing w:after="0" w:line="264" w:lineRule="auto"/>
        <w:rPr>
          <w:sz w:val="20"/>
          <w:szCs w:val="20"/>
          <w:color w:val="auto"/>
        </w:rPr>
      </w:pPr>
      <w:r>
        <w:rPr>
          <w:rFonts w:ascii="Times New Roman" w:cs="Times New Roman" w:eastAsia="Times New Roman" w:hAnsi="Times New Roman"/>
          <w:sz w:val="14"/>
          <w:szCs w:val="14"/>
          <w:color w:val="auto"/>
        </w:rPr>
        <w:t>On November 17, 2023, we entered into a Credit Agreement with AgWest Farm Credit, PCA, as administrative agent and letter of credit intermediary (Administrative Agent), and certain other lenders, collectively, the Revolving Credit Facility. The Revolving Credit Facility provides TRC with (i) a revolving credit line (RCL) in the amount of $160,000,000 and (ii) the option for TRC to utilize a letter of credit sub-facility in the amount of $15,000,000 (LOC Sub-Facility). The LOC Sub-Facility is part of, and not in addition to, the RCL. As further summarized below, the RCL requires interest only payments and has a maturity date of January 1, 2029.</w:t>
      </w:r>
    </w:p>
    <w:p>
      <w:pPr>
        <w:spacing w:after="0" w:line="9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Upon closing of the Revolving Credit Facility, funds from the RCL were used to pay off and close out the existing Bank of America, N.A. Term Note (the Bank of America Term Note) and Revolving Line of Credit Note. The amount of this pay off was $47,078,564 plus accrued interest and fees on the Bank of America Term Note. We evaluated the debt exchange under Accounting Standards Codification (ASC) 470 and determined that the exchange should be treated as a debt extinguishment. Future borrowings under the Revolving Credit Facility will be used for ongoing working capital requirements, including to fund future construction projects, farming and ranching operations, and other general corporate purposes.</w:t>
      </w:r>
    </w:p>
    <w:p>
      <w:pPr>
        <w:spacing w:after="0" w:line="9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To maintain availability of funds, undrawn amounts under the RCL will accrue an unused fee of 15 basis points per annum except that, for the LOC Sub-Facility, TRC will incur a fee of 2.00% per annum for each letter of credit issued to TRC. TRC’s ability to borrow/draw additional funds is subject to compliance with certain financial and other covenants, some of which are further described below, and the continuing accuracy of certain representations and warranties contained in the Revolving Credit Facility.</w:t>
      </w:r>
    </w:p>
    <w:p>
      <w:pPr>
        <w:spacing w:after="0" w:line="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interest rate per annum applicable to the Revolving Credit Facility is one-month term SOFR plus an interest rate spread that is based on TRC’s consolidated net liabilities to equity ratio (NLER). The interest rate spread for the NLER has three tiers: (1) 2.75% if the NLER is 55% or more; (2) 2.5% if the NLER is between 35% and less than 55%; and (3) 2.25% if the NLER is less than 35%. The interest rate spread in the previous sentence may effectively be reduced by applying a patronage credit for TRC’s participation in the farm credit program, which patronage credit historically has been (for reference and information purposes only and not as a guarantee of future patronage credit) between 100-125 basis points. The Administrative Agent pays the patronage credit annually in the form of a dividend. As of June 30, 2025, the Company's NLER was in tier 3, or less than 35%, and the applicable interest rate spread was 2.25%. We received partial patronage credit in February 2025 of $420,000 which represents 125 basis points from the primary lender and we received the remaining patronage credit in March 2025 for $202,000 which represents 100 basis point from the other participating lenders.</w:t>
      </w:r>
    </w:p>
    <w:p>
      <w:pPr>
        <w:spacing w:after="0" w:line="10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Revolving Credit Facility requires the payment of interest only during the term, at which point the full drawn amount, plus accrued interest, must be repaid by the maturity date, if TRC has not earlier repaid the borrowed amount or extended the maturity date. The RCL may be repaid in part, or in full, by TRC at any time during the term without penalty. Certain events of default (as described in the Revolving Credit Facility) allow acceleration of repayment of borrowed funds, interest and other fees. The Revolving Credit Facility is unsecured, but the agreement provides the Administrative Agent a springing lien on TRC’s wholly owned, unencumbered assets, exclusive of assets subject to negative pledge, if one or more covenants is breached.</w:t>
      </w:r>
    </w:p>
    <w:p>
      <w:pPr>
        <w:spacing w:after="0" w:line="9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w:t>
      </w:r>
    </w:p>
    <w:p>
      <w:pPr>
        <w:spacing w:after="0" w:line="82"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4"/>
          <w:szCs w:val="14"/>
          <w:color w:val="auto"/>
        </w:rPr>
        <w:t>The Revolving Credit Facility also contains customary negative covenants that limit our ability to, among other things, make capital expenditures, incur indebtedness and issue guaranties, consummate certain asset sales, acquisitions or mergers, make investments, pay dividends or repurchase stock, make a change in capital ownership, or incur liens on any assets.</w:t>
      </w:r>
    </w:p>
    <w:p>
      <w:pPr>
        <w:spacing w:after="0" w:line="8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Revolving Credit Facility contains customary events of default, including: failure to make required payments; failure to comply with terms of the Credit Facility; bankruptcy and insolvency. The Credit Facility contains other customary terms and conditions, including representations and warranties, which are typical for credit facilities of this type.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2025 and December 31, 2024, we were in compliance with all financial covenants.</w:t>
      </w:r>
    </w:p>
    <w:p>
      <w:pPr>
        <w:spacing w:after="0" w:line="7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and/or issuance of additional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5" w:name="page46"/>
    <w:bookmarkEnd w:id="45"/>
    <w:p>
      <w:pPr>
        <w:ind w:right="120"/>
        <w:spacing w:after="0" w:line="264" w:lineRule="auto"/>
        <w:rPr>
          <w:sz w:val="20"/>
          <w:szCs w:val="20"/>
          <w:color w:val="auto"/>
        </w:rPr>
      </w:pPr>
      <w:r>
        <w:rPr>
          <w:rFonts w:ascii="Times New Roman" w:cs="Times New Roman" w:eastAsia="Times New Roman" w:hAnsi="Times New Roman"/>
          <w:sz w:val="14"/>
          <w:szCs w:val="14"/>
          <w:color w:val="auto"/>
        </w:rPr>
        <w:t>In May 2022, we filed an updated shelf registration statement on Form S-3 that went effective in May 2022.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spacing w:after="0" w:line="4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We had a strong liquidity position at June 30, 2025 with $20,054,000 in cash and securities and $78,058,000 available on our RLC to meet any short-term liquidity needs. See Note 3 (Marketable Securities) and Note 7 (Line of Credit and Long-Term Debt) of the Notes to Unaudited Consolidated Financial Statements for more information.</w:t>
      </w:r>
    </w:p>
    <w:p>
      <w:pPr>
        <w:spacing w:after="0" w:line="1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can use other capital alternatives, such as joint ventures with financial partners, sales of assets, and/or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 term as described earlier in the cash flow and liquidity discussions.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Contractual Cash Obligations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contractual cash obligations and commercial commitments as of June 30, 2025, to be paid over the next five years and thereafter:</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7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One Year or Less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Years 2-3</w:t>
            </w: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Years 4-5</w:t>
            </w:r>
          </w:p>
        </w:tc>
        <w:tc>
          <w:tcPr>
            <w:tcW w:w="240" w:type="dxa"/>
            <w:vAlign w:val="bottom"/>
          </w:tcPr>
          <w:p>
            <w:pPr>
              <w:spacing w:after="0"/>
              <w:rPr>
                <w:sz w:val="14"/>
                <w:szCs w:val="14"/>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Pr>
          <w:p>
            <w:pPr>
              <w:spacing w:after="0"/>
              <w:rPr>
                <w:sz w:val="14"/>
                <w:szCs w:val="14"/>
                <w:color w:val="auto"/>
              </w:rPr>
            </w:pPr>
          </w:p>
        </w:tc>
      </w:tr>
      <w:tr>
        <w:trPr>
          <w:trHeight w:val="160"/>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Contractual Obligations:</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r>
      <w:tr>
        <w:trPr>
          <w:trHeight w:val="18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Estimated water payments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1,462,769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1,396,693</w:t>
            </w:r>
          </w:p>
        </w:tc>
        <w:tc>
          <w:tcPr>
            <w:tcW w:w="2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2</w:t>
            </w:r>
          </w:p>
        </w:tc>
      </w:tr>
      <w:tr>
        <w:trPr>
          <w:trHeight w:val="180"/>
        </w:trPr>
        <w:tc>
          <w:tcPr>
            <w:tcW w:w="3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Revolving line-of-credit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8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contract commitments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14,427</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1</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240" w:type="dxa"/>
            <w:vAlign w:val="bottom"/>
            <w:shd w:val="clear" w:color="auto" w:fill="CCEEFF"/>
          </w:tcPr>
          <w:p>
            <w:pPr>
              <w:spacing w:after="0"/>
              <w:rPr>
                <w:sz w:val="15"/>
                <w:szCs w:val="15"/>
                <w:color w:val="auto"/>
              </w:rPr>
            </w:pPr>
          </w:p>
        </w:tc>
      </w:tr>
      <w:tr>
        <w:trPr>
          <w:trHeight w:val="180"/>
        </w:trPr>
        <w:tc>
          <w:tcPr>
            <w:tcW w:w="3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Defined Benefit Plan</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240" w:type="dxa"/>
            <w:vAlign w:val="bottom"/>
          </w:tcPr>
          <w:p>
            <w:pPr>
              <w:spacing w:after="0"/>
              <w:rPr>
                <w:sz w:val="15"/>
                <w:szCs w:val="15"/>
                <w:color w:val="auto"/>
              </w:rPr>
            </w:pPr>
          </w:p>
        </w:tc>
      </w:tr>
      <w:tr>
        <w:trPr>
          <w:trHeight w:val="18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SERP</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240" w:type="dxa"/>
            <w:vAlign w:val="bottom"/>
            <w:tcBorders>
              <w:bottom w:val="single" w:sz="8" w:color="auto"/>
            </w:tcBorders>
            <w:shd w:val="clear" w:color="auto" w:fill="CCEEFF"/>
          </w:tcPr>
          <w:p>
            <w:pPr>
              <w:spacing w:after="0"/>
              <w:rPr>
                <w:sz w:val="15"/>
                <w:szCs w:val="15"/>
                <w:color w:val="auto"/>
              </w:rPr>
            </w:pPr>
          </w:p>
        </w:tc>
      </w:tr>
      <w:tr>
        <w:trPr>
          <w:trHeight w:val="175"/>
        </w:trPr>
        <w:tc>
          <w:tcPr>
            <w:tcW w:w="3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1,571,464</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32,480</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115,673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1,403,218</w:t>
            </w:r>
          </w:p>
        </w:tc>
        <w:tc>
          <w:tcPr>
            <w:tcW w:w="2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-1905</wp:posOffset>
            </wp:positionV>
            <wp:extent cx="479679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96790" cy="6985"/>
                    </a:xfrm>
                    <a:prstGeom prst="rect">
                      <a:avLst/>
                    </a:prstGeom>
                    <a:noFill/>
                  </pic:spPr>
                </pic:pic>
              </a:graphicData>
            </a:graphic>
          </wp:anchor>
        </w:drawing>
      </w:r>
    </w:p>
    <w:p>
      <w:pPr>
        <w:ind w:left="100" w:hanging="70"/>
        <w:spacing w:after="0" w:line="219" w:lineRule="auto"/>
        <w:tabs>
          <w:tab w:leader="none" w:pos="100" w:val="left"/>
        </w:tabs>
        <w:numPr>
          <w:ilvl w:val="0"/>
          <w:numId w:val="3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Amount primarily represents our contractual commitments related to our multifamily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-81280</wp:posOffset>
            </wp:positionV>
            <wp:extent cx="479679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96790" cy="6985"/>
                    </a:xfrm>
                    <a:prstGeom prst="rect">
                      <a:avLst/>
                    </a:prstGeom>
                    <a:noFill/>
                  </pic:spPr>
                </pic:pic>
              </a:graphicData>
            </a:graphic>
          </wp:anchor>
        </w:drawing>
      </w:r>
    </w:p>
    <w:p>
      <w:pPr>
        <w:ind w:left="20" w:right="240" w:firstLine="10"/>
        <w:spacing w:after="0" w:line="207" w:lineRule="auto"/>
        <w:tabs>
          <w:tab w:leader="none" w:pos="85" w:val="left"/>
        </w:tabs>
        <w:numPr>
          <w:ilvl w:val="0"/>
          <w:numId w:val="4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Amount represents Nickel Family water contract payments through 2044 and SWP contract payments through 2085, assuming 3% of escalation on payment each year. For the most significant component, the WRMWSD contract payment, we used an average of the actual water payments for the past five years (2020-2024) as base year, or $5.42 million, escalating 3% each year, to derive at the number disclosed.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above includes only those contracts that include fixed or minimum obligations. It does not include normal purchases that are made in the ordinary course of business.</w:t>
      </w:r>
    </w:p>
    <w:p>
      <w:pPr>
        <w:spacing w:after="0" w:line="83"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Estimated water payments include the Nickel Family, LLC water contract, which obligates us to purchase 6,693 acre-feet of water annually through 2044 and SWP contracts with WRMWSD, TCWD, Tulare Lake Basin Water Storage District, and Dudley-Ridge Water Storage District. These contracts for the supply of future water run through 2085. Please refer to Note 5 (Long-Term Water Assets) of the Notes to Consolidated Financial Statements for additional information regarding water assets.</w:t>
      </w:r>
    </w:p>
    <w:p>
      <w:pPr>
        <w:spacing w:after="0" w:line="3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Our cash contract commitments consist of contracts in various stages of completion related to infrastructure development within our industrial and multi-family developments and entitlement costs related to our industrial and residential development projects. Also, included in the cash contract commitments are estimated fees earned in 2014 by a consultant, related to the entitlement of the Grapevine Development Area. We exited a consulting contract in 2014 related to the Grapevine Development and are obligated to pay an earned incentive fee at the time of successful receipt of all project permits and entitlements and at a value measurement date five-years after project permits have been achieved for Grapevine. The final amount of the incentive fees will not be finalized until the future payment dates. We believe that net savings from exiting the contract over this future time period will more than offset the incentive payment costs.</w:t>
      </w:r>
    </w:p>
    <w:p>
      <w:pPr>
        <w:spacing w:after="0" w:line="48"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As discussed in Note 12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us to the plan trust, estimates of payments to employees from the plan trust, and estimates of future payments to employees from us that are in the SERP program. We don't expect to make contributions in 2025.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006EBF"/>
        </w:rPr>
        <w:t>Off-Balance Sheet Arrangements</w:t>
      </w:r>
    </w:p>
    <w:p>
      <w:pPr>
        <w:spacing w:after="0" w:line="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TRPFFA is a joint powers authority formed by Kern County and TCWD to finance public infrastructure within our Kern County developments. TRPFFA created two CFD's, the West CFD and the East CFD. The West CFD has placed liens on 420 acres of land to secure payment of special taxes related to $19,540,000 of outstanding bond debt sold by TRPFFA for TRCC-West. The East CFD has placed liens on 1,931 acres of our land to secure payments of special taxes related to $95,660,000 of outstanding bond debt sold by TRPFFA for TRCC-East. At TRCC-West, the West CFD has no additional bond debt approved for issuance. On July 25, 2024, TRPFFA sold bonds which will provide approximately $25,000,000 of improvement funds for the reimbursement of public infrastructure costs at TRCC-East. At TRCC-East, the East CFD has approximately $18,605,000 of additional bond debt authorized by TRPFFA.</w:t>
      </w:r>
    </w:p>
    <w:p>
      <w:pPr>
        <w:spacing w:after="0" w:line="4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As of June 30, 2025, aggregate outstanding debt of unconsolidated joint ventures was $218,895,000; $20,384,000 of this debt was attributable to the loan for TRCC/Rock Outlet Center LLC joint venture. This loan was 100% guaranteed at June 30, 2025. All other outstanding debt attributed to our joint ventures have met their respective debt covenants, and hence were not subject to an effective guarantee at June 30, 2025. We do not provide a guarantee on the $11,412,000 of debt related to our joint venture with TA/Petro.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02"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006EBF"/>
        </w:rPr>
        <w:t>Non-GAAP Financial Measures</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In addition, the Company excludes other items impacting comparability to provide a clearer understanding of its core operating performance.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(loss) income or cash flows from operations as defined by GAAP. Further, our computation of EBITDA and Adjusted EBITDA may not be comparable to similar measures reported by other companies.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64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5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net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5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r>
      <w:tr>
        <w:trPr>
          <w:trHeight w:val="18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Our share of interest expense from unconsolidated joint ventures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w:t>
            </w:r>
          </w:p>
        </w:tc>
      </w:tr>
      <w:tr>
        <w:trPr>
          <w:trHeight w:val="17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net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Consolidated</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r>
      <w:tr>
        <w:trPr>
          <w:trHeight w:val="180"/>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Our share of depreciation and amortization from unconsolidated joint ventures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3,294</w:t>
            </w:r>
          </w:p>
        </w:tc>
      </w:tr>
      <w:tr>
        <w:trPr>
          <w:trHeight w:val="17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5,215</w:t>
            </w:r>
          </w:p>
        </w:tc>
      </w:tr>
      <w:tr>
        <w:trPr>
          <w:trHeight w:val="17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4,919</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Items impacting comparability:</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1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Shareholder activism expense </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5,743</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5,146</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8,580</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7,273</w:t>
            </w:r>
          </w:p>
        </w:tc>
      </w:tr>
    </w:tbl>
    <w:p>
      <w:pPr>
        <w:ind w:left="100" w:hanging="81"/>
        <w:spacing w:after="0" w:line="215" w:lineRule="auto"/>
        <w:tabs>
          <w:tab w:leader="none" w:pos="100"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advisory fees related to the contested board election and proxy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61530" cy="107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540" w:type="dxa"/>
            <w:vAlign w:val="bottom"/>
            <w:tcBorders>
              <w:bottom w:val="single" w:sz="8" w:color="auto"/>
            </w:tcBorders>
            <w:gridSpan w:val="5"/>
          </w:tcPr>
          <w:p>
            <w:pPr>
              <w:jc w:val="right"/>
              <w:ind w:right="10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149"/>
              <w:spacing w:after="0"/>
              <w:rPr>
                <w:sz w:val="20"/>
                <w:szCs w:val="20"/>
                <w:color w:val="auto"/>
              </w:rPr>
            </w:pPr>
            <w:r>
              <w:rPr>
                <w:rFonts w:ascii="Times New Roman" w:cs="Times New Roman" w:eastAsia="Times New Roman" w:hAnsi="Times New Roman"/>
                <w:sz w:val="14"/>
                <w:szCs w:val="14"/>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Borders>
              <w:bottom w:val="single" w:sz="8" w:color="auto"/>
            </w:tcBorders>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Commercial/Industrial operating income</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r>
      <w:tr>
        <w:trPr>
          <w:trHeight w:val="180"/>
        </w:trPr>
        <w:tc>
          <w:tcPr>
            <w:tcW w:w="20" w:type="dxa"/>
            <w:vAlign w:val="bottom"/>
          </w:tcPr>
          <w:p>
            <w:pPr>
              <w:spacing w:after="0"/>
              <w:rPr>
                <w:sz w:val="15"/>
                <w:szCs w:val="15"/>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Plus: Commercial/Industrial depreciation and amortization</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80"/>
        </w:trPr>
        <w:tc>
          <w:tcPr>
            <w:tcW w:w="20" w:type="dxa"/>
            <w:vAlign w:val="bottom"/>
          </w:tcPr>
          <w:p>
            <w:pPr>
              <w:spacing w:after="0"/>
              <w:rPr>
                <w:sz w:val="15"/>
                <w:szCs w:val="15"/>
                <w:color w:val="auto"/>
              </w:rPr>
            </w:pPr>
          </w:p>
        </w:tc>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Plus: General, administrative, cost of sales and other expenses</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r>
      <w:tr>
        <w:trPr>
          <w:trHeight w:val="180"/>
        </w:trPr>
        <w:tc>
          <w:tcPr>
            <w:tcW w:w="20" w:type="dxa"/>
            <w:vAlign w:val="bottom"/>
          </w:tcPr>
          <w:p>
            <w:pPr>
              <w:spacing w:after="0"/>
              <w:rPr>
                <w:sz w:val="15"/>
                <w:szCs w:val="15"/>
                <w:color w:val="auto"/>
              </w:rPr>
            </w:pPr>
          </w:p>
        </w:tc>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Other revenues including land sales</w:t>
            </w: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w:t>
            </w:r>
          </w:p>
        </w:tc>
      </w:tr>
      <w:tr>
        <w:trPr>
          <w:trHeight w:val="196"/>
        </w:trPr>
        <w:tc>
          <w:tcPr>
            <w:tcW w:w="20" w:type="dxa"/>
            <w:vAlign w:val="bottom"/>
          </w:tcPr>
          <w:p>
            <w:pPr>
              <w:spacing w:after="0"/>
              <w:rPr>
                <w:sz w:val="16"/>
                <w:szCs w:val="16"/>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1,849</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1,795</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3,716</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3,668</w:t>
            </w: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540" w:type="dxa"/>
            <w:vAlign w:val="bottom"/>
            <w:tcBorders>
              <w:bottom w:val="single" w:sz="8" w:color="auto"/>
            </w:tcBorders>
            <w:gridSpan w:val="5"/>
          </w:tcPr>
          <w:p>
            <w:pPr>
              <w:jc w:val="right"/>
              <w:ind w:right="10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Borders>
              <w:bottom w:val="single" w:sz="8" w:color="auto"/>
            </w:tcBorders>
            <w:gridSpan w:val="5"/>
          </w:tcPr>
          <w:p>
            <w:pPr>
              <w:jc w:val="right"/>
              <w:ind w:right="129"/>
              <w:spacing w:after="0"/>
              <w:rPr>
                <w:sz w:val="20"/>
                <w:szCs w:val="20"/>
                <w:color w:val="auto"/>
              </w:rPr>
            </w:pPr>
            <w:r>
              <w:rPr>
                <w:rFonts w:ascii="Times New Roman" w:cs="Times New Roman" w:eastAsia="Times New Roman" w:hAnsi="Times New Roman"/>
                <w:sz w:val="14"/>
                <w:szCs w:val="14"/>
                <w:color w:val="auto"/>
              </w:rPr>
              <w:t>Six Months Ended June 30,</w:t>
            </w:r>
          </w:p>
        </w:tc>
        <w:tc>
          <w:tcPr>
            <w:tcW w:w="52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Net operating income</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Pr>
          <w:p>
            <w:pPr>
              <w:spacing w:after="0"/>
              <w:rPr>
                <w:sz w:val="14"/>
                <w:szCs w:val="14"/>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Pastoria Energy Facility</w:t>
            </w:r>
          </w:p>
        </w:tc>
        <w:tc>
          <w:tcPr>
            <w:tcW w:w="960" w:type="dxa"/>
            <w:vAlign w:val="bottom"/>
            <w:tcBorders>
              <w:top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r>
      <w:tr>
        <w:trPr>
          <w:trHeight w:val="180"/>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TRCC</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r>
      <w:tr>
        <w:trPr>
          <w:trHeight w:val="180"/>
        </w:trPr>
        <w:tc>
          <w:tcPr>
            <w:tcW w:w="20" w:type="dxa"/>
            <w:vAlign w:val="bottom"/>
            <w:shd w:val="clear" w:color="auto" w:fill="CCEEFF"/>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Communication leases</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80"/>
        </w:trPr>
        <w:tc>
          <w:tcPr>
            <w:tcW w:w="2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commercial leases</w:t>
            </w: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1,795</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3,716</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utilize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4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following schedule reconciles net income of unconsolidated joint ventures to NOI of unconsolidated joint ventures. Please refer to Note 14 (Investment in Unconsolidated and Consolidated Joint Ventures) of the Notes to Unaudited Consolidated Financial Statements for further discussion on joint ventures.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80" w:type="dxa"/>
            <w:vAlign w:val="bottom"/>
          </w:tcPr>
          <w:p>
            <w:pPr>
              <w:spacing w:after="0"/>
              <w:rPr>
                <w:sz w:val="16"/>
                <w:szCs w:val="16"/>
                <w:color w:val="auto"/>
              </w:rPr>
            </w:pPr>
          </w:p>
        </w:tc>
        <w:tc>
          <w:tcPr>
            <w:tcW w:w="2980" w:type="dxa"/>
            <w:vAlign w:val="bottom"/>
            <w:gridSpan w:val="4"/>
          </w:tcPr>
          <w:p>
            <w:pPr>
              <w:jc w:val="right"/>
              <w:ind w:right="82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of unconsolidated joint ventures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7,492</w:t>
            </w:r>
          </w:p>
        </w:tc>
      </w:tr>
      <w:tr>
        <w:trPr>
          <w:trHeight w:val="18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 of unconsolidated joint ventures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6,102</w:t>
            </w:r>
          </w:p>
        </w:tc>
      </w:tr>
      <w:tr>
        <w:trPr>
          <w:trHeight w:val="17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of unconsolidated joint ventures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13,594</w:t>
            </w:r>
          </w:p>
        </w:tc>
      </w:tr>
      <w:tr>
        <w:trPr>
          <w:trHeight w:val="18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of unconsolidated joint ventures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6,287</w:t>
            </w:r>
          </w:p>
        </w:tc>
      </w:tr>
      <w:tr>
        <w:trPr>
          <w:trHeight w:val="196"/>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 of unconsolidated joint ventures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10,631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11,029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641"/>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7"/>
        </w:trPr>
        <w:tc>
          <w:tcPr>
            <w:tcW w:w="44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3. QUANTITATIVE AND QUALITATIVE DISCLOSURES ABOUT MARKET RISK</w:t>
      </w:r>
    </w:p>
    <w:p>
      <w:pPr>
        <w:spacing w:after="0" w:line="7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Financial Market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exposure to financial market risks includes changes to interest rates and credit risks related to marketable securities, interest rates related to our outstanding indebtedness and trade receivables.</w:t>
      </w:r>
    </w:p>
    <w:p>
      <w:pPr>
        <w:spacing w:after="0" w:line="13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9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Our current RCL has a $81,942,000 outstanding balance. The interest rate on this line of credit can float at a rate equal to one-month term SOFR plus 2.25%, before patronage, for an effective rate of 6.60% at June 30, 2025. During the term of this RCL (which matures in January 2029), we can borrow at any time and partially or wholly repay any outstanding borrowings and then re-borrow, as necessary outstanding balances.</w:t>
      </w:r>
    </w:p>
    <w:p>
      <w:pPr>
        <w:spacing w:after="0" w:line="9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4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Sensitivity Financial Market Risks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 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10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Thereafter</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60"/>
        </w:trPr>
        <w:tc>
          <w:tcPr>
            <w:tcW w:w="2980" w:type="dxa"/>
            <w:vAlign w:val="bottom"/>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$6,485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$9,335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$1,744</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$17,564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$17,554</w:t>
            </w:r>
          </w:p>
        </w:tc>
        <w:tc>
          <w:tcPr>
            <w:tcW w:w="0" w:type="dxa"/>
            <w:vAlign w:val="bottom"/>
          </w:tcPr>
          <w:p>
            <w:pPr>
              <w:spacing w:after="0"/>
              <w:rPr>
                <w:sz w:val="1"/>
                <w:szCs w:val="1"/>
                <w:color w:val="auto"/>
              </w:rPr>
            </w:pPr>
          </w:p>
        </w:tc>
      </w:tr>
      <w:tr>
        <w:trPr>
          <w:trHeight w:val="180"/>
        </w:trPr>
        <w:tc>
          <w:tcPr>
            <w:tcW w:w="2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4.01%</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4.43%</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Revolving line-of-credit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$81,942</w:t>
            </w:r>
          </w:p>
        </w:tc>
        <w:tc>
          <w:tcPr>
            <w:tcW w:w="1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$81,942</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$81,942</w:t>
            </w: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Weighted average interest rate</w:t>
            </w:r>
            <w:r>
              <w:rPr>
                <w:rFonts w:ascii="Times New Roman" w:cs="Times New Roman" w:eastAsia="Times New Roman" w:hAnsi="Times New Roman"/>
                <w:sz w:val="18"/>
                <w:szCs w:val="18"/>
                <w:color w:val="auto"/>
                <w:vertAlign w:val="superscript"/>
              </w:rPr>
              <w:t>1</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The effective interest rate on this line of credit is SOFR plus a margin of 2.25%. The all-in rate was 6.60% as of June 30, 2025, before patronage.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Sensitivity Financial Market Risks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8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Thereafter</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60"/>
        </w:trPr>
        <w:tc>
          <w:tcPr>
            <w:tcW w:w="3020" w:type="dxa"/>
            <w:vAlign w:val="bottom"/>
            <w:vMerge w:val="continue"/>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$12,701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$999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5"/>
              </w:rPr>
              <w:t>$—</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$14,437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$14,441</w:t>
            </w:r>
          </w:p>
        </w:tc>
        <w:tc>
          <w:tcPr>
            <w:tcW w:w="0" w:type="dxa"/>
            <w:vAlign w:val="bottom"/>
          </w:tcPr>
          <w:p>
            <w:pPr>
              <w:spacing w:after="0"/>
              <w:rPr>
                <w:sz w:val="1"/>
                <w:szCs w:val="1"/>
                <w:color w:val="auto"/>
              </w:rPr>
            </w:pPr>
          </w:p>
        </w:tc>
      </w:tr>
      <w:tr>
        <w:trPr>
          <w:trHeight w:val="180"/>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4.64%</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4.06%</w:t>
            </w:r>
          </w:p>
        </w:tc>
        <w:tc>
          <w:tcPr>
            <w:tcW w:w="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Revolving line-of-credit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$66,942</w:t>
            </w:r>
          </w:p>
        </w:tc>
        <w:tc>
          <w:tcPr>
            <w:tcW w:w="8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$66,942</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$66,942</w:t>
            </w: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Weighted average interest rate</w:t>
            </w:r>
            <w:r>
              <w:rPr>
                <w:rFonts w:ascii="Times New Roman" w:cs="Times New Roman" w:eastAsia="Times New Roman" w:hAnsi="Times New Roman"/>
                <w:sz w:val="18"/>
                <w:szCs w:val="18"/>
                <w:color w:val="auto"/>
                <w:vertAlign w:val="superscript"/>
              </w:rPr>
              <w:t>1</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The effective interest rate on this line of credit is SOFR plus a margin of 2.25%. The all-in rate was 6.85% as of December 31, 2024, before patronage.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Commodity Price Exposure</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Farming inventories and accounts receivable are exposed to adverse price fluctuations. Farming inventories consist of farming, cultural, and processing costs associated with crop production. Farming inventory costs are recorded as incurred. Historically, these costs have been recovered through crop sales occurring after harvest.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2025, there were no receivables that were subject to commodity price fluctuations given there was no pistachio yield in 2024.</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4. CONTROLS AND PROCEDURES</w:t>
      </w:r>
    </w:p>
    <w:p>
      <w:pPr>
        <w:spacing w:after="0" w:line="96" w:lineRule="exact"/>
        <w:rPr>
          <w:sz w:val="20"/>
          <w:szCs w:val="20"/>
          <w:color w:val="auto"/>
        </w:rPr>
      </w:pPr>
    </w:p>
    <w:p>
      <w:pPr>
        <w:ind w:left="440" w:hanging="435"/>
        <w:spacing w:after="0"/>
        <w:tabs>
          <w:tab w:leader="none" w:pos="4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Evaluation of Disclosure Controls and Procedures</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At the end of the period covered by this report, management conducted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to be disclosed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 required by the rules and regulations of the SEC.</w:t>
      </w:r>
    </w:p>
    <w:p>
      <w:pPr>
        <w:spacing w:after="0" w:line="61" w:lineRule="exact"/>
        <w:rPr>
          <w:sz w:val="20"/>
          <w:szCs w:val="20"/>
          <w:color w:val="auto"/>
        </w:rPr>
      </w:pPr>
    </w:p>
    <w:p>
      <w:pPr>
        <w:ind w:left="440" w:hanging="435"/>
        <w:spacing w:after="0"/>
        <w:tabs>
          <w:tab w:leader="none" w:pos="4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Internal Control Over Financial Reporting</w:t>
      </w:r>
    </w:p>
    <w:p>
      <w:pPr>
        <w:spacing w:after="0" w:line="13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identified in connection with the evaluation required by paragraph (d) of Rule 13a-15 or Rule 15d-15 under the Exchange Act that occurred during our last fiscal quarter that have materially affected, or are reasonably likely to materially affect, our internal control over financial reporting.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6EBF"/>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1. Legal Proceedings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Note 11 (Commitments and Contingencies) in the Notes to Unaudited Consolidated Financial Statements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1A. Risk Factors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previously disclosed in Part I, Item 1A in our most recent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2. Unregistered Sales of Equity Securities and Use of Proceeds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3. Defaults Upon Senior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4. Mine Safety Disclosures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5. Other Information</w:t>
      </w:r>
    </w:p>
    <w:p>
      <w:pPr>
        <w:spacing w:after="0" w:line="25" w:lineRule="exact"/>
        <w:rPr>
          <w:sz w:val="20"/>
          <w:szCs w:val="20"/>
          <w:color w:val="auto"/>
        </w:rPr>
      </w:pPr>
    </w:p>
    <w:p>
      <w:pPr>
        <w:ind w:left="200" w:hanging="195"/>
        <w:spacing w:after="0"/>
        <w:tabs>
          <w:tab w:leader="none" w:pos="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6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2"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Item 6. Exhibits:</w:t>
            </w:r>
          </w:p>
        </w:tc>
        <w:tc>
          <w:tcPr>
            <w:tcW w:w="40" w:type="dxa"/>
            <w:vAlign w:val="bottom"/>
          </w:tcPr>
          <w:p>
            <w:pPr>
              <w:spacing w:after="0"/>
              <w:rPr>
                <w:sz w:val="13"/>
                <w:szCs w:val="13"/>
                <w:color w:val="auto"/>
              </w:rPr>
            </w:pPr>
          </w:p>
        </w:tc>
        <w:tc>
          <w:tcPr>
            <w:tcW w:w="89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1000" w:type="dxa"/>
            <w:vAlign w:val="bottom"/>
            <w:tcBorders>
              <w:top w:val="single" w:sz="8" w:color="006EBF"/>
            </w:tcBorders>
          </w:tcPr>
          <w:p>
            <w:pPr>
              <w:jc w:val="center"/>
              <w:ind w:left="749"/>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8960" w:type="dxa"/>
            <w:vAlign w:val="bottom"/>
            <w:gridSpan w:val="2"/>
          </w:tcPr>
          <w:p>
            <w:pPr>
              <w:ind w:left="100"/>
              <w:spacing w:after="0"/>
              <w:rPr>
                <w:rFonts w:ascii="Times New Roman" w:cs="Times New Roman" w:eastAsia="Times New Roman" w:hAnsi="Times New Roman"/>
                <w:sz w:val="14"/>
                <w:szCs w:val="14"/>
                <w:color w:val="auto"/>
              </w:rPr>
            </w:pPr>
            <w:hyperlink r:id="rId97">
              <w:r>
                <w:rPr>
                  <w:rFonts w:ascii="Times New Roman" w:cs="Times New Roman" w:eastAsia="Times New Roman" w:hAnsi="Times New Roman"/>
                  <w:sz w:val="14"/>
                  <w:szCs w:val="14"/>
                  <w:color w:val="auto"/>
                </w:rPr>
                <w:t>Restated Certificate of Incorporation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w:t>
            </w:r>
          </w:p>
        </w:tc>
      </w:tr>
      <w:tr>
        <w:trPr>
          <w:trHeight w:val="180"/>
        </w:trPr>
        <w:tc>
          <w:tcPr>
            <w:tcW w:w="1020" w:type="dxa"/>
            <w:vAlign w:val="bottom"/>
            <w:gridSpan w:val="2"/>
          </w:tcPr>
          <w:p>
            <w:pPr>
              <w:jc w:val="center"/>
              <w:ind w:left="769"/>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8960" w:type="dxa"/>
            <w:vAlign w:val="bottom"/>
            <w:gridSpan w:val="2"/>
          </w:tcPr>
          <w:p>
            <w:pPr>
              <w:ind w:left="100"/>
              <w:spacing w:after="0"/>
              <w:rPr>
                <w:rFonts w:ascii="Times New Roman" w:cs="Times New Roman" w:eastAsia="Times New Roman" w:hAnsi="Times New Roman"/>
                <w:sz w:val="14"/>
                <w:szCs w:val="14"/>
                <w:color w:val="auto"/>
              </w:rPr>
            </w:pPr>
            <w:hyperlink r:id="rId98">
              <w:r>
                <w:rPr>
                  <w:rFonts w:ascii="Times New Roman" w:cs="Times New Roman" w:eastAsia="Times New Roman" w:hAnsi="Times New Roman"/>
                  <w:sz w:val="14"/>
                  <w:szCs w:val="14"/>
                  <w:color w:val="auto"/>
                </w:rPr>
                <w:t>Amended and Restated Bylaws</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w:t>
            </w:r>
          </w:p>
        </w:tc>
      </w:tr>
      <w:tr>
        <w:trPr>
          <w:trHeight w:val="180"/>
        </w:trPr>
        <w:tc>
          <w:tcPr>
            <w:tcW w:w="1020" w:type="dxa"/>
            <w:vAlign w:val="bottom"/>
            <w:gridSpan w:val="2"/>
          </w:tcPr>
          <w:p>
            <w:pPr>
              <w:jc w:val="center"/>
              <w:ind w:left="769"/>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8960" w:type="dxa"/>
            <w:vAlign w:val="bottom"/>
            <w:gridSpan w:val="2"/>
          </w:tcPr>
          <w:p>
            <w:pPr>
              <w:ind w:left="100"/>
              <w:spacing w:after="0"/>
              <w:rPr>
                <w:rFonts w:ascii="Times New Roman" w:cs="Times New Roman" w:eastAsia="Times New Roman" w:hAnsi="Times New Roman"/>
                <w:sz w:val="14"/>
                <w:szCs w:val="14"/>
                <w:color w:val="auto"/>
              </w:rPr>
            </w:pPr>
            <w:hyperlink r:id="rId99">
              <w:r>
                <w:rPr>
                  <w:rFonts w:ascii="Times New Roman" w:cs="Times New Roman" w:eastAsia="Times New Roman" w:hAnsi="Times New Roman"/>
                  <w:sz w:val="14"/>
                  <w:szCs w:val="14"/>
                  <w:color w:val="auto"/>
                </w:rPr>
                <w:t>Registration and Reimbursement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5</w:t>
            </w:r>
          </w:p>
        </w:tc>
      </w:tr>
      <w:tr>
        <w:trPr>
          <w:trHeight w:val="180"/>
        </w:trPr>
        <w:tc>
          <w:tcPr>
            <w:tcW w:w="1020" w:type="dxa"/>
            <w:vAlign w:val="bottom"/>
            <w:gridSpan w:val="2"/>
          </w:tcPr>
          <w:p>
            <w:pPr>
              <w:jc w:val="center"/>
              <w:ind w:left="769"/>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5"/>
                <w:szCs w:val="15"/>
                <w:color w:val="auto"/>
              </w:rPr>
            </w:pPr>
          </w:p>
        </w:tc>
        <w:tc>
          <w:tcPr>
            <w:tcW w:w="8960" w:type="dxa"/>
            <w:vAlign w:val="bottom"/>
            <w:gridSpan w:val="2"/>
          </w:tcPr>
          <w:p>
            <w:pPr>
              <w:ind w:left="100"/>
              <w:spacing w:after="0"/>
              <w:rPr>
                <w:rFonts w:ascii="Times New Roman" w:cs="Times New Roman" w:eastAsia="Times New Roman" w:hAnsi="Times New Roman"/>
                <w:sz w:val="14"/>
                <w:szCs w:val="14"/>
                <w:color w:val="auto"/>
              </w:rPr>
            </w:pPr>
            <w:hyperlink r:id="rId100">
              <w:r>
                <w:rPr>
                  <w:rFonts w:ascii="Times New Roman" w:cs="Times New Roman" w:eastAsia="Times New Roman" w:hAnsi="Times New Roman"/>
                  <w:sz w:val="14"/>
                  <w:szCs w:val="14"/>
                  <w:color w:val="auto"/>
                </w:rPr>
                <w:t>Form of Indenture for Debt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37</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9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Water Service Contract with Wheeler Ridge-Maricopa Water Storage District (without exhibits), amendments originally filed under Item 11 to</w:t>
            </w:r>
          </w:p>
        </w:tc>
        <w:tc>
          <w:tcPr>
            <w:tcW w:w="1180" w:type="dxa"/>
            <w:vAlign w:val="bottom"/>
          </w:tcPr>
          <w:p>
            <w:pPr>
              <w:spacing w:after="0"/>
              <w:rPr>
                <w:sz w:val="12"/>
                <w:szCs w:val="12"/>
                <w:color w:val="auto"/>
              </w:rPr>
            </w:pPr>
          </w:p>
        </w:tc>
      </w:tr>
      <w:tr>
        <w:trPr>
          <w:trHeight w:val="180"/>
        </w:trPr>
        <w:tc>
          <w:tcPr>
            <w:tcW w:w="102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Pr>
          <w:p>
            <w:pPr>
              <w:spacing w:after="0"/>
              <w:rPr>
                <w:sz w:val="15"/>
                <w:szCs w:val="15"/>
                <w:color w:val="auto"/>
              </w:rPr>
            </w:pPr>
          </w:p>
        </w:tc>
        <w:tc>
          <w:tcPr>
            <w:tcW w:w="8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Registrant's Annual Report on Form 10-K</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6</w:t>
            </w:r>
          </w:p>
        </w:tc>
      </w:tr>
      <w:tr>
        <w:trPr>
          <w:trHeight w:val="180"/>
        </w:trPr>
        <w:tc>
          <w:tcPr>
            <w:tcW w:w="102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color w:val="auto"/>
                <w:w w:val="97"/>
              </w:rPr>
              <w:t>10.7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920" w:type="dxa"/>
            <w:vAlign w:val="bottom"/>
          </w:tcPr>
          <w:p>
            <w:pPr>
              <w:ind w:left="60"/>
              <w:spacing w:after="0"/>
              <w:rPr>
                <w:rFonts w:ascii="Times New Roman" w:cs="Times New Roman" w:eastAsia="Times New Roman" w:hAnsi="Times New Roman"/>
                <w:sz w:val="14"/>
                <w:szCs w:val="14"/>
                <w:color w:val="auto"/>
              </w:rPr>
            </w:pPr>
            <w:hyperlink r:id="rId101">
              <w:r>
                <w:rPr>
                  <w:rFonts w:ascii="Times New Roman" w:cs="Times New Roman" w:eastAsia="Times New Roman" w:hAnsi="Times New Roman"/>
                  <w:sz w:val="14"/>
                  <w:szCs w:val="14"/>
                  <w:color w:val="auto"/>
                </w:rPr>
                <w:t>*Severance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02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color w:val="auto"/>
                <w:w w:val="97"/>
              </w:rPr>
              <w:t>10.8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920" w:type="dxa"/>
            <w:vAlign w:val="bottom"/>
          </w:tcPr>
          <w:p>
            <w:pPr>
              <w:ind w:left="60"/>
              <w:spacing w:after="0"/>
              <w:rPr>
                <w:rFonts w:ascii="Times New Roman" w:cs="Times New Roman" w:eastAsia="Times New Roman" w:hAnsi="Times New Roman"/>
                <w:sz w:val="14"/>
                <w:szCs w:val="14"/>
                <w:color w:val="auto"/>
              </w:rPr>
            </w:pPr>
            <w:hyperlink r:id="rId101">
              <w:r>
                <w:rPr>
                  <w:rFonts w:ascii="Times New Roman" w:cs="Times New Roman" w:eastAsia="Times New Roman" w:hAnsi="Times New Roman"/>
                  <w:sz w:val="14"/>
                  <w:szCs w:val="14"/>
                  <w:color w:val="auto"/>
                </w:rPr>
                <w:t>*Director Compensation Plan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4"/>
        </w:trPr>
        <w:tc>
          <w:tcPr>
            <w:tcW w:w="102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color w:val="auto"/>
                <w:w w:val="97"/>
              </w:rPr>
              <w:t>10.9</w:t>
            </w:r>
          </w:p>
        </w:tc>
        <w:tc>
          <w:tcPr>
            <w:tcW w:w="120" w:type="dxa"/>
            <w:vAlign w:val="bottom"/>
          </w:tcPr>
          <w:p>
            <w:pPr>
              <w:spacing w:after="0"/>
              <w:rPr>
                <w:sz w:val="16"/>
                <w:szCs w:val="16"/>
                <w:color w:val="auto"/>
              </w:rPr>
            </w:pPr>
          </w:p>
        </w:tc>
        <w:tc>
          <w:tcPr>
            <w:tcW w:w="8960" w:type="dxa"/>
            <w:vAlign w:val="bottom"/>
            <w:gridSpan w:val="2"/>
          </w:tcPr>
          <w:p>
            <w:pPr>
              <w:ind w:left="100"/>
              <w:spacing w:after="0"/>
              <w:rPr>
                <w:rFonts w:ascii="Times New Roman" w:cs="Times New Roman" w:eastAsia="Times New Roman" w:hAnsi="Times New Roman"/>
                <w:sz w:val="14"/>
                <w:szCs w:val="14"/>
                <w:color w:val="auto"/>
              </w:rPr>
            </w:pPr>
            <w:hyperlink r:id="rId102">
              <w:r>
                <w:rPr>
                  <w:rFonts w:ascii="Times New Roman" w:cs="Times New Roman" w:eastAsia="Times New Roman" w:hAnsi="Times New Roman"/>
                  <w:sz w:val="14"/>
                  <w:szCs w:val="14"/>
                  <w:color w:val="auto"/>
                </w:rPr>
                <w:t>*Amended and Restated Non-Employee Director Stock Incentive Plan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8</w:t>
            </w:r>
          </w:p>
        </w:tc>
      </w:tr>
      <w:tr>
        <w:trPr>
          <w:trHeight w:val="272"/>
        </w:trPr>
        <w:tc>
          <w:tcPr>
            <w:tcW w:w="1180" w:type="dxa"/>
            <w:vAlign w:val="bottom"/>
            <w:gridSpan w:val="4"/>
          </w:tcPr>
          <w:p>
            <w:pPr>
              <w:jc w:val="center"/>
              <w:ind w:left="609"/>
              <w:spacing w:after="0"/>
              <w:rPr>
                <w:sz w:val="20"/>
                <w:szCs w:val="20"/>
                <w:color w:val="auto"/>
              </w:rPr>
            </w:pPr>
            <w:r>
              <w:rPr>
                <w:rFonts w:ascii="Times New Roman" w:cs="Times New Roman" w:eastAsia="Times New Roman" w:hAnsi="Times New Roman"/>
                <w:sz w:val="14"/>
                <w:szCs w:val="14"/>
                <w:color w:val="auto"/>
              </w:rPr>
              <w:t>10.9(1)</w:t>
            </w:r>
          </w:p>
        </w:tc>
        <w:tc>
          <w:tcPr>
            <w:tcW w:w="8920" w:type="dxa"/>
            <w:vAlign w:val="bottom"/>
          </w:tcPr>
          <w:p>
            <w:pPr>
              <w:ind w:left="80"/>
              <w:spacing w:after="0"/>
              <w:rPr>
                <w:rFonts w:ascii="Times New Roman" w:cs="Times New Roman" w:eastAsia="Times New Roman" w:hAnsi="Times New Roman"/>
                <w:sz w:val="14"/>
                <w:szCs w:val="14"/>
                <w:color w:val="auto"/>
              </w:rPr>
            </w:pPr>
            <w:hyperlink r:id="rId101">
              <w:r>
                <w:rPr>
                  <w:rFonts w:ascii="Times New Roman" w:cs="Times New Roman" w:eastAsia="Times New Roman" w:hAnsi="Times New Roman"/>
                  <w:sz w:val="14"/>
                  <w:szCs w:val="14"/>
                  <w:color w:val="auto"/>
                </w:rPr>
                <w:t>*Stock Option Agreement Pursuant to the Non-Employee Director Stock Incentive Plan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10.10</w:t>
            </w:r>
          </w:p>
        </w:tc>
        <w:tc>
          <w:tcPr>
            <w:tcW w:w="8920" w:type="dxa"/>
            <w:vAlign w:val="bottom"/>
          </w:tcPr>
          <w:p>
            <w:pPr>
              <w:ind w:left="80"/>
              <w:spacing w:after="0"/>
              <w:rPr>
                <w:rFonts w:ascii="Times New Roman" w:cs="Times New Roman" w:eastAsia="Times New Roman" w:hAnsi="Times New Roman"/>
                <w:sz w:val="14"/>
                <w:szCs w:val="14"/>
                <w:color w:val="auto"/>
              </w:rPr>
            </w:pPr>
            <w:hyperlink r:id="rId103">
              <w:r>
                <w:rPr>
                  <w:rFonts w:ascii="Times New Roman" w:cs="Times New Roman" w:eastAsia="Times New Roman" w:hAnsi="Times New Roman"/>
                  <w:sz w:val="14"/>
                  <w:szCs w:val="14"/>
                  <w:color w:val="auto"/>
                </w:rPr>
                <w:t>*Amended and Restated 1998 Stock Incentive Plan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9</w:t>
            </w:r>
          </w:p>
        </w:tc>
      </w:tr>
      <w:tr>
        <w:trPr>
          <w:trHeight w:val="180"/>
        </w:trPr>
        <w:tc>
          <w:tcPr>
            <w:tcW w:w="1180" w:type="dxa"/>
            <w:vAlign w:val="bottom"/>
            <w:gridSpan w:val="4"/>
          </w:tcPr>
          <w:p>
            <w:pPr>
              <w:jc w:val="center"/>
              <w:ind w:left="549"/>
              <w:spacing w:after="0"/>
              <w:rPr>
                <w:sz w:val="20"/>
                <w:szCs w:val="20"/>
                <w:color w:val="auto"/>
              </w:rPr>
            </w:pPr>
            <w:r>
              <w:rPr>
                <w:rFonts w:ascii="Times New Roman" w:cs="Times New Roman" w:eastAsia="Times New Roman" w:hAnsi="Times New Roman"/>
                <w:sz w:val="14"/>
                <w:szCs w:val="14"/>
                <w:color w:val="auto"/>
              </w:rPr>
              <w:t>10.10(1)</w:t>
            </w:r>
          </w:p>
        </w:tc>
        <w:tc>
          <w:tcPr>
            <w:tcW w:w="8920" w:type="dxa"/>
            <w:vAlign w:val="bottom"/>
          </w:tcPr>
          <w:p>
            <w:pPr>
              <w:ind w:left="80"/>
              <w:spacing w:after="0"/>
              <w:rPr>
                <w:rFonts w:ascii="Times New Roman" w:cs="Times New Roman" w:eastAsia="Times New Roman" w:hAnsi="Times New Roman"/>
                <w:sz w:val="14"/>
                <w:szCs w:val="14"/>
                <w:color w:val="auto"/>
              </w:rPr>
            </w:pPr>
            <w:hyperlink r:id="rId101">
              <w:r>
                <w:rPr>
                  <w:rFonts w:ascii="Times New Roman" w:cs="Times New Roman" w:eastAsia="Times New Roman" w:hAnsi="Times New Roman"/>
                  <w:sz w:val="14"/>
                  <w:szCs w:val="14"/>
                  <w:color w:val="auto"/>
                </w:rPr>
                <w:t>*Stock Option Agreement Pursuant to the 1998 Stock Incentive Plan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10.12</w:t>
            </w:r>
          </w:p>
        </w:tc>
        <w:tc>
          <w:tcPr>
            <w:tcW w:w="8920" w:type="dxa"/>
            <w:vAlign w:val="bottom"/>
          </w:tcPr>
          <w:p>
            <w:pPr>
              <w:ind w:left="80"/>
              <w:spacing w:after="0"/>
              <w:rPr>
                <w:rFonts w:ascii="Times New Roman" w:cs="Times New Roman" w:eastAsia="Times New Roman" w:hAnsi="Times New Roman"/>
                <w:sz w:val="14"/>
                <w:szCs w:val="14"/>
                <w:color w:val="auto"/>
              </w:rPr>
            </w:pPr>
            <w:hyperlink r:id="rId104">
              <w:r>
                <w:rPr>
                  <w:rFonts w:ascii="Times New Roman" w:cs="Times New Roman" w:eastAsia="Times New Roman" w:hAnsi="Times New Roman"/>
                  <w:sz w:val="14"/>
                  <w:szCs w:val="14"/>
                  <w:color w:val="auto"/>
                </w:rPr>
                <w:t>Ground Lease with Pastoria Energy Facility L.L.C.</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10</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10.15</w:t>
            </w:r>
          </w:p>
        </w:tc>
        <w:tc>
          <w:tcPr>
            <w:tcW w:w="8920" w:type="dxa"/>
            <w:vAlign w:val="bottom"/>
          </w:tcPr>
          <w:p>
            <w:pPr>
              <w:ind w:left="80"/>
              <w:spacing w:after="0"/>
              <w:rPr>
                <w:rFonts w:ascii="Times New Roman" w:cs="Times New Roman" w:eastAsia="Times New Roman" w:hAnsi="Times New Roman"/>
                <w:sz w:val="14"/>
                <w:szCs w:val="14"/>
                <w:color w:val="auto"/>
              </w:rPr>
            </w:pPr>
            <w:hyperlink r:id="rId105">
              <w:r>
                <w:rPr>
                  <w:rFonts w:ascii="Times New Roman" w:cs="Times New Roman" w:eastAsia="Times New Roman" w:hAnsi="Times New Roman"/>
                  <w:sz w:val="14"/>
                  <w:szCs w:val="14"/>
                  <w:color w:val="auto"/>
                </w:rPr>
                <w:t>Form of Securities Purchase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11</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10.16</w:t>
            </w:r>
          </w:p>
        </w:tc>
        <w:tc>
          <w:tcPr>
            <w:tcW w:w="8920" w:type="dxa"/>
            <w:vAlign w:val="bottom"/>
          </w:tcPr>
          <w:p>
            <w:pPr>
              <w:ind w:left="80"/>
              <w:spacing w:after="0"/>
              <w:rPr>
                <w:rFonts w:ascii="Times New Roman" w:cs="Times New Roman" w:eastAsia="Times New Roman" w:hAnsi="Times New Roman"/>
                <w:sz w:val="14"/>
                <w:szCs w:val="14"/>
                <w:color w:val="auto"/>
              </w:rPr>
            </w:pPr>
            <w:hyperlink r:id="rId106">
              <w:r>
                <w:rPr>
                  <w:rFonts w:ascii="Times New Roman" w:cs="Times New Roman" w:eastAsia="Times New Roman" w:hAnsi="Times New Roman"/>
                  <w:sz w:val="14"/>
                  <w:szCs w:val="14"/>
                  <w:color w:val="auto"/>
                </w:rPr>
                <w:t>Form of Registration Rights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12</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10.17</w:t>
            </w:r>
          </w:p>
        </w:tc>
        <w:tc>
          <w:tcPr>
            <w:tcW w:w="8920" w:type="dxa"/>
            <w:vAlign w:val="bottom"/>
          </w:tcPr>
          <w:p>
            <w:pPr>
              <w:ind w:left="80"/>
              <w:spacing w:after="0"/>
              <w:rPr>
                <w:rFonts w:ascii="Times New Roman" w:cs="Times New Roman" w:eastAsia="Times New Roman" w:hAnsi="Times New Roman"/>
                <w:sz w:val="14"/>
                <w:szCs w:val="14"/>
                <w:color w:val="auto"/>
              </w:rPr>
            </w:pPr>
            <w:hyperlink r:id="rId107">
              <w:r>
                <w:rPr>
                  <w:rFonts w:ascii="Times New Roman" w:cs="Times New Roman" w:eastAsia="Times New Roman" w:hAnsi="Times New Roman"/>
                  <w:sz w:val="14"/>
                  <w:szCs w:val="14"/>
                  <w:color w:val="auto"/>
                </w:rPr>
                <w:t>*2004 Stock Incentive Program</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10.18</w:t>
            </w:r>
          </w:p>
        </w:tc>
        <w:tc>
          <w:tcPr>
            <w:tcW w:w="8920" w:type="dxa"/>
            <w:vAlign w:val="bottom"/>
          </w:tcPr>
          <w:p>
            <w:pPr>
              <w:ind w:left="80"/>
              <w:spacing w:after="0"/>
              <w:rPr>
                <w:rFonts w:ascii="Times New Roman" w:cs="Times New Roman" w:eastAsia="Times New Roman" w:hAnsi="Times New Roman"/>
                <w:sz w:val="14"/>
                <w:szCs w:val="14"/>
                <w:color w:val="auto"/>
              </w:rPr>
            </w:pPr>
            <w:hyperlink r:id="rId108">
              <w:r>
                <w:rPr>
                  <w:rFonts w:ascii="Times New Roman" w:cs="Times New Roman" w:eastAsia="Times New Roman" w:hAnsi="Times New Roman"/>
                  <w:sz w:val="14"/>
                  <w:szCs w:val="14"/>
                  <w:color w:val="auto"/>
                </w:rPr>
                <w:t>*Form of Restricted Stock Agreement for Directors</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10.19</w:t>
            </w:r>
          </w:p>
        </w:tc>
        <w:tc>
          <w:tcPr>
            <w:tcW w:w="8920" w:type="dxa"/>
            <w:vAlign w:val="bottom"/>
          </w:tcPr>
          <w:p>
            <w:pPr>
              <w:ind w:left="80"/>
              <w:spacing w:after="0"/>
              <w:rPr>
                <w:rFonts w:ascii="Times New Roman" w:cs="Times New Roman" w:eastAsia="Times New Roman" w:hAnsi="Times New Roman"/>
                <w:sz w:val="14"/>
                <w:szCs w:val="14"/>
                <w:color w:val="auto"/>
              </w:rPr>
            </w:pPr>
            <w:hyperlink r:id="rId109">
              <w:r>
                <w:rPr>
                  <w:rFonts w:ascii="Times New Roman" w:cs="Times New Roman" w:eastAsia="Times New Roman" w:hAnsi="Times New Roman"/>
                  <w:sz w:val="14"/>
                  <w:szCs w:val="14"/>
                  <w:color w:val="auto"/>
                </w:rPr>
                <w:t>*Form of Restricted Stock Unit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10.23</w:t>
            </w:r>
          </w:p>
        </w:tc>
        <w:tc>
          <w:tcPr>
            <w:tcW w:w="8920" w:type="dxa"/>
            <w:vAlign w:val="bottom"/>
          </w:tcPr>
          <w:p>
            <w:pPr>
              <w:ind w:left="80"/>
              <w:spacing w:after="0"/>
              <w:rPr>
                <w:rFonts w:ascii="Times New Roman" w:cs="Times New Roman" w:eastAsia="Times New Roman" w:hAnsi="Times New Roman"/>
                <w:sz w:val="14"/>
                <w:szCs w:val="14"/>
                <w:color w:val="auto"/>
              </w:rPr>
            </w:pPr>
            <w:hyperlink r:id="rId110">
              <w:r>
                <w:rPr>
                  <w:rFonts w:ascii="Times New Roman" w:cs="Times New Roman" w:eastAsia="Times New Roman" w:hAnsi="Times New Roman"/>
                  <w:sz w:val="14"/>
                  <w:szCs w:val="14"/>
                  <w:color w:val="auto"/>
                </w:rPr>
                <w:t>Limited Liability Company Agreement of Tejon Mountain Village LLC</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14</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10.24</w:t>
            </w:r>
          </w:p>
        </w:tc>
        <w:tc>
          <w:tcPr>
            <w:tcW w:w="8920" w:type="dxa"/>
            <w:vAlign w:val="bottom"/>
          </w:tcPr>
          <w:p>
            <w:pPr>
              <w:ind w:left="80"/>
              <w:spacing w:after="0"/>
              <w:rPr>
                <w:rFonts w:ascii="Times New Roman" w:cs="Times New Roman" w:eastAsia="Times New Roman" w:hAnsi="Times New Roman"/>
                <w:sz w:val="14"/>
                <w:szCs w:val="14"/>
                <w:color w:val="auto"/>
              </w:rPr>
            </w:pPr>
            <w:hyperlink r:id="rId111">
              <w:r>
                <w:rPr>
                  <w:rFonts w:ascii="Times New Roman" w:cs="Times New Roman" w:eastAsia="Times New Roman" w:hAnsi="Times New Roman"/>
                  <w:sz w:val="14"/>
                  <w:szCs w:val="14"/>
                  <w:color w:val="auto"/>
                </w:rPr>
                <w:t>Tejon Ranch Conservation and Land Use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15</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10.25</w:t>
            </w:r>
          </w:p>
        </w:tc>
        <w:tc>
          <w:tcPr>
            <w:tcW w:w="8920" w:type="dxa"/>
            <w:vAlign w:val="bottom"/>
          </w:tcPr>
          <w:p>
            <w:pPr>
              <w:ind w:left="80"/>
              <w:spacing w:after="0"/>
              <w:rPr>
                <w:rFonts w:ascii="Times New Roman" w:cs="Times New Roman" w:eastAsia="Times New Roman" w:hAnsi="Times New Roman"/>
                <w:sz w:val="14"/>
                <w:szCs w:val="14"/>
                <w:color w:val="auto"/>
              </w:rPr>
            </w:pPr>
            <w:hyperlink r:id="rId112">
              <w:r>
                <w:rPr>
                  <w:rFonts w:ascii="Times New Roman" w:cs="Times New Roman" w:eastAsia="Times New Roman" w:hAnsi="Times New Roman"/>
                  <w:sz w:val="14"/>
                  <w:szCs w:val="14"/>
                  <w:color w:val="auto"/>
                </w:rPr>
                <w:t>Second Amended and Restated Limited Liability Agreement of Centennial Founders, LLC</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16</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10.26</w:t>
            </w:r>
          </w:p>
        </w:tc>
        <w:tc>
          <w:tcPr>
            <w:tcW w:w="8920" w:type="dxa"/>
            <w:vAlign w:val="bottom"/>
          </w:tcPr>
          <w:p>
            <w:pPr>
              <w:ind w:left="80"/>
              <w:spacing w:after="0"/>
              <w:rPr>
                <w:rFonts w:ascii="Times New Roman" w:cs="Times New Roman" w:eastAsia="Times New Roman" w:hAnsi="Times New Roman"/>
                <w:sz w:val="14"/>
                <w:szCs w:val="14"/>
                <w:color w:val="auto"/>
              </w:rPr>
            </w:pPr>
            <w:hyperlink r:id="rId113">
              <w:r>
                <w:rPr>
                  <w:rFonts w:ascii="Times New Roman" w:cs="Times New Roman" w:eastAsia="Times New Roman" w:hAnsi="Times New Roman"/>
                  <w:sz w:val="14"/>
                  <w:szCs w:val="14"/>
                  <w:color w:val="auto"/>
                </w:rPr>
                <w:t>*Executive Employment Agreement - Allen E. Lyda</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17</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10.27</w:t>
            </w:r>
          </w:p>
        </w:tc>
        <w:tc>
          <w:tcPr>
            <w:tcW w:w="8920" w:type="dxa"/>
            <w:vAlign w:val="bottom"/>
          </w:tcPr>
          <w:p>
            <w:pPr>
              <w:ind w:left="80"/>
              <w:spacing w:after="0"/>
              <w:rPr>
                <w:rFonts w:ascii="Times New Roman" w:cs="Times New Roman" w:eastAsia="Times New Roman" w:hAnsi="Times New Roman"/>
                <w:sz w:val="14"/>
                <w:szCs w:val="14"/>
                <w:color w:val="auto"/>
              </w:rPr>
            </w:pPr>
            <w:hyperlink r:id="rId114">
              <w:r>
                <w:rPr>
                  <w:rFonts w:ascii="Times New Roman" w:cs="Times New Roman" w:eastAsia="Times New Roman" w:hAnsi="Times New Roman"/>
                  <w:sz w:val="14"/>
                  <w:szCs w:val="14"/>
                  <w:color w:val="auto"/>
                </w:rPr>
                <w:t>Limited Liability Company Agreement of TRCC/Rock Outlet Center LLC</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18</w:t>
            </w:r>
          </w:p>
        </w:tc>
      </w:tr>
      <w:tr>
        <w:trPr>
          <w:trHeight w:val="180"/>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10.28</w:t>
            </w:r>
          </w:p>
        </w:tc>
        <w:tc>
          <w:tcPr>
            <w:tcW w:w="8920" w:type="dxa"/>
            <w:vAlign w:val="bottom"/>
          </w:tcPr>
          <w:p>
            <w:pPr>
              <w:ind w:left="80"/>
              <w:spacing w:after="0"/>
              <w:rPr>
                <w:rFonts w:ascii="Times New Roman" w:cs="Times New Roman" w:eastAsia="Times New Roman" w:hAnsi="Times New Roman"/>
                <w:sz w:val="14"/>
                <w:szCs w:val="14"/>
                <w:color w:val="auto"/>
              </w:rPr>
            </w:pPr>
            <w:hyperlink r:id="rId115">
              <w:r>
                <w:rPr>
                  <w:rFonts w:ascii="Times New Roman" w:cs="Times New Roman" w:eastAsia="Times New Roman" w:hAnsi="Times New Roman"/>
                  <w:sz w:val="14"/>
                  <w:szCs w:val="14"/>
                  <w:color w:val="auto"/>
                </w:rPr>
                <w:t>Warrant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19</w:t>
            </w:r>
          </w:p>
        </w:tc>
      </w:tr>
      <w:tr>
        <w:trPr>
          <w:trHeight w:val="184"/>
        </w:trPr>
        <w:tc>
          <w:tcPr>
            <w:tcW w:w="1180" w:type="dxa"/>
            <w:vAlign w:val="bottom"/>
            <w:gridSpan w:val="4"/>
          </w:tcPr>
          <w:p>
            <w:pPr>
              <w:jc w:val="center"/>
              <w:ind w:left="629"/>
              <w:spacing w:after="0"/>
              <w:rPr>
                <w:sz w:val="20"/>
                <w:szCs w:val="20"/>
                <w:color w:val="auto"/>
              </w:rPr>
            </w:pPr>
            <w:r>
              <w:rPr>
                <w:rFonts w:ascii="Times New Roman" w:cs="Times New Roman" w:eastAsia="Times New Roman" w:hAnsi="Times New Roman"/>
                <w:sz w:val="14"/>
                <w:szCs w:val="14"/>
                <w:color w:val="auto"/>
              </w:rPr>
              <w:t>10.29</w:t>
            </w:r>
          </w:p>
        </w:tc>
        <w:tc>
          <w:tcPr>
            <w:tcW w:w="8920" w:type="dxa"/>
            <w:vAlign w:val="bottom"/>
          </w:tcPr>
          <w:p>
            <w:pPr>
              <w:ind w:left="80"/>
              <w:spacing w:after="0"/>
              <w:rPr>
                <w:rFonts w:ascii="Times New Roman" w:cs="Times New Roman" w:eastAsia="Times New Roman" w:hAnsi="Times New Roman"/>
                <w:sz w:val="14"/>
                <w:szCs w:val="14"/>
                <w:color w:val="auto"/>
              </w:rPr>
            </w:pPr>
            <w:hyperlink r:id="rId116">
              <w:r>
                <w:rPr>
                  <w:rFonts w:ascii="Times New Roman" w:cs="Times New Roman" w:eastAsia="Times New Roman" w:hAnsi="Times New Roman"/>
                  <w:sz w:val="14"/>
                  <w:szCs w:val="14"/>
                  <w:color w:val="auto"/>
                </w:rPr>
                <w:t>Amendments to Limited Liability Company Agreement of Tejon Mountain Village LLC</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20</w:t>
            </w:r>
          </w:p>
        </w:tc>
      </w:tr>
      <w:tr>
        <w:trPr>
          <w:trHeight w:val="67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20" w:type="dxa"/>
            <w:vAlign w:val="bottom"/>
          </w:tcPr>
          <w:p>
            <w:pPr>
              <w:ind w:left="4400"/>
              <w:spacing w:after="0"/>
              <w:rPr>
                <w:sz w:val="20"/>
                <w:szCs w:val="20"/>
                <w:color w:val="auto"/>
              </w:rPr>
            </w:pPr>
            <w:r>
              <w:rPr>
                <w:rFonts w:ascii="Times New Roman" w:cs="Times New Roman" w:eastAsia="Times New Roman" w:hAnsi="Times New Roman"/>
                <w:sz w:val="14"/>
                <w:szCs w:val="14"/>
                <w:color w:val="auto"/>
              </w:rPr>
              <w:t>53</w:t>
            </w:r>
          </w:p>
        </w:tc>
        <w:tc>
          <w:tcPr>
            <w:tcW w:w="11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9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3" w:name="page54"/>
    <w:bookmarkEnd w:id="53"/>
    <w:tbl>
      <w:tblPr>
        <w:tblLayout w:type="fixed"/>
        <w:tblInd w:w="600" w:type="dxa"/>
        <w:tblCellMar>
          <w:top w:w="0" w:type="dxa"/>
          <w:left w:w="0" w:type="dxa"/>
          <w:bottom w:w="0" w:type="dxa"/>
          <w:right w:w="0" w:type="dxa"/>
        </w:tblCellMar>
      </w:tblP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10.30</w:t>
            </w:r>
          </w:p>
        </w:tc>
        <w:tc>
          <w:tcPr>
            <w:tcW w:w="8340" w:type="dxa"/>
            <w:vAlign w:val="bottom"/>
          </w:tcPr>
          <w:p>
            <w:pPr>
              <w:ind w:left="60"/>
              <w:spacing w:after="0"/>
              <w:rPr>
                <w:rFonts w:ascii="Times New Roman" w:cs="Times New Roman" w:eastAsia="Times New Roman" w:hAnsi="Times New Roman"/>
                <w:sz w:val="14"/>
                <w:szCs w:val="14"/>
                <w:color w:val="auto"/>
              </w:rPr>
            </w:pPr>
            <w:hyperlink r:id="rId119">
              <w:r>
                <w:rPr>
                  <w:rFonts w:ascii="Times New Roman" w:cs="Times New Roman" w:eastAsia="Times New Roman" w:hAnsi="Times New Roman"/>
                  <w:sz w:val="14"/>
                  <w:szCs w:val="14"/>
                  <w:color w:val="auto"/>
                </w:rPr>
                <w:t>Membership Interest Purchase Agreement - Tejon Mountain Village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10.34</w:t>
            </w:r>
          </w:p>
        </w:tc>
        <w:tc>
          <w:tcPr>
            <w:tcW w:w="8340" w:type="dxa"/>
            <w:vAlign w:val="bottom"/>
          </w:tcPr>
          <w:p>
            <w:pPr>
              <w:ind w:left="60"/>
              <w:spacing w:after="0"/>
              <w:rPr>
                <w:rFonts w:ascii="Times New Roman" w:cs="Times New Roman" w:eastAsia="Times New Roman" w:hAnsi="Times New Roman"/>
                <w:sz w:val="14"/>
                <w:szCs w:val="14"/>
                <w:color w:val="auto"/>
              </w:rPr>
            </w:pPr>
            <w:hyperlink r:id="rId120">
              <w:r>
                <w:rPr>
                  <w:rFonts w:ascii="Times New Roman" w:cs="Times New Roman" w:eastAsia="Times New Roman" w:hAnsi="Times New Roman"/>
                  <w:sz w:val="14"/>
                  <w:szCs w:val="14"/>
                  <w:color w:val="auto"/>
                </w:rPr>
                <w:t>Amendments to Lease Agreement with Pastoria Energy Facility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10.35</w:t>
            </w:r>
          </w:p>
        </w:tc>
        <w:tc>
          <w:tcPr>
            <w:tcW w:w="8340" w:type="dxa"/>
            <w:vAlign w:val="bottom"/>
          </w:tcPr>
          <w:p>
            <w:pPr>
              <w:ind w:left="60"/>
              <w:spacing w:after="0"/>
              <w:rPr>
                <w:rFonts w:ascii="Times New Roman" w:cs="Times New Roman" w:eastAsia="Times New Roman" w:hAnsi="Times New Roman"/>
                <w:sz w:val="14"/>
                <w:szCs w:val="14"/>
                <w:color w:val="auto"/>
              </w:rPr>
            </w:pPr>
            <w:hyperlink r:id="rId121">
              <w:r>
                <w:rPr>
                  <w:rFonts w:ascii="Times New Roman" w:cs="Times New Roman" w:eastAsia="Times New Roman" w:hAnsi="Times New Roman"/>
                  <w:sz w:val="14"/>
                  <w:szCs w:val="14"/>
                  <w:color w:val="auto"/>
                </w:rPr>
                <w:t>Water Supply Agreement with Pastoria Energy Facility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24</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10.37</w:t>
            </w:r>
          </w:p>
        </w:tc>
        <w:tc>
          <w:tcPr>
            <w:tcW w:w="8340" w:type="dxa"/>
            <w:vAlign w:val="bottom"/>
          </w:tcPr>
          <w:p>
            <w:pPr>
              <w:ind w:left="60"/>
              <w:spacing w:after="0"/>
              <w:rPr>
                <w:rFonts w:ascii="Times New Roman" w:cs="Times New Roman" w:eastAsia="Times New Roman" w:hAnsi="Times New Roman"/>
                <w:sz w:val="14"/>
                <w:szCs w:val="14"/>
                <w:color w:val="auto"/>
              </w:rPr>
            </w:pPr>
            <w:hyperlink r:id="rId122">
              <w:r>
                <w:rPr>
                  <w:rFonts w:ascii="Times New Roman" w:cs="Times New Roman" w:eastAsia="Times New Roman" w:hAnsi="Times New Roman"/>
                  <w:sz w:val="14"/>
                  <w:szCs w:val="14"/>
                  <w:color w:val="auto"/>
                </w:rPr>
                <w:t>Limited Liability Company Agreement of TRC-MRC 2,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26</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10.38</w:t>
            </w:r>
          </w:p>
        </w:tc>
        <w:tc>
          <w:tcPr>
            <w:tcW w:w="8340" w:type="dxa"/>
            <w:vAlign w:val="bottom"/>
          </w:tcPr>
          <w:p>
            <w:pPr>
              <w:ind w:left="60"/>
              <w:spacing w:after="0"/>
              <w:rPr>
                <w:rFonts w:ascii="Times New Roman" w:cs="Times New Roman" w:eastAsia="Times New Roman" w:hAnsi="Times New Roman"/>
                <w:sz w:val="14"/>
                <w:szCs w:val="14"/>
                <w:color w:val="auto"/>
              </w:rPr>
            </w:pPr>
            <w:hyperlink r:id="rId123">
              <w:r>
                <w:rPr>
                  <w:rFonts w:ascii="Times New Roman" w:cs="Times New Roman" w:eastAsia="Times New Roman" w:hAnsi="Times New Roman"/>
                  <w:sz w:val="14"/>
                  <w:szCs w:val="14"/>
                  <w:color w:val="auto"/>
                </w:rPr>
                <w:t>Limited Liability Company Agreement of TRC-MRC 1,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27</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10.39</w:t>
            </w:r>
          </w:p>
        </w:tc>
        <w:tc>
          <w:tcPr>
            <w:tcW w:w="8340" w:type="dxa"/>
            <w:vAlign w:val="bottom"/>
          </w:tcPr>
          <w:p>
            <w:pPr>
              <w:ind w:left="60"/>
              <w:spacing w:after="0"/>
              <w:rPr>
                <w:rFonts w:ascii="Times New Roman" w:cs="Times New Roman" w:eastAsia="Times New Roman" w:hAnsi="Times New Roman"/>
                <w:sz w:val="14"/>
                <w:szCs w:val="14"/>
                <w:color w:val="auto"/>
              </w:rPr>
            </w:pPr>
            <w:hyperlink r:id="rId124">
              <w:r>
                <w:rPr>
                  <w:rFonts w:ascii="Times New Roman" w:cs="Times New Roman" w:eastAsia="Times New Roman" w:hAnsi="Times New Roman"/>
                  <w:sz w:val="14"/>
                  <w:szCs w:val="14"/>
                  <w:color w:val="auto"/>
                </w:rPr>
                <w:t xml:space="preserve">Centennial Founders, LLC Redemption and Withdrawal Agreement </w:t>
              </w:r>
            </w:hyperlink>
            <w:r>
              <w:rPr>
                <w:rFonts w:ascii="Times New Roman" w:cs="Times New Roman" w:eastAsia="Times New Roman" w:hAnsi="Times New Roman"/>
                <w:sz w:val="14"/>
                <w:szCs w:val="14"/>
                <w:color w:val="auto"/>
              </w:rPr>
              <w:t>- Lewis Tejon Member</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28</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10.40</w:t>
            </w:r>
          </w:p>
        </w:tc>
        <w:tc>
          <w:tcPr>
            <w:tcW w:w="8340" w:type="dxa"/>
            <w:vAlign w:val="bottom"/>
          </w:tcPr>
          <w:p>
            <w:pPr>
              <w:ind w:left="60"/>
              <w:spacing w:after="0"/>
              <w:rPr>
                <w:rFonts w:ascii="Times New Roman" w:cs="Times New Roman" w:eastAsia="Times New Roman" w:hAnsi="Times New Roman"/>
                <w:sz w:val="14"/>
                <w:szCs w:val="14"/>
                <w:color w:val="auto"/>
              </w:rPr>
            </w:pPr>
            <w:hyperlink r:id="rId125">
              <w:r>
                <w:rPr>
                  <w:rFonts w:ascii="Times New Roman" w:cs="Times New Roman" w:eastAsia="Times New Roman" w:hAnsi="Times New Roman"/>
                  <w:sz w:val="14"/>
                  <w:szCs w:val="14"/>
                  <w:color w:val="auto"/>
                </w:rPr>
                <w:t>First Amendment to Second Amended and Restated Limited Liability Company Agreement of Centennial Founders,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29</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10.41</w:t>
            </w:r>
          </w:p>
        </w:tc>
        <w:tc>
          <w:tcPr>
            <w:tcW w:w="8340" w:type="dxa"/>
            <w:vAlign w:val="bottom"/>
          </w:tcPr>
          <w:p>
            <w:pPr>
              <w:ind w:left="60"/>
              <w:spacing w:after="0"/>
              <w:rPr>
                <w:rFonts w:ascii="Times New Roman" w:cs="Times New Roman" w:eastAsia="Times New Roman" w:hAnsi="Times New Roman"/>
                <w:sz w:val="14"/>
                <w:szCs w:val="14"/>
                <w:color w:val="auto"/>
              </w:rPr>
            </w:pPr>
            <w:hyperlink r:id="rId126">
              <w:r>
                <w:rPr>
                  <w:rFonts w:ascii="Times New Roman" w:cs="Times New Roman" w:eastAsia="Times New Roman" w:hAnsi="Times New Roman"/>
                  <w:sz w:val="14"/>
                  <w:szCs w:val="14"/>
                  <w:color w:val="auto"/>
                </w:rPr>
                <w:t>Second Amendment to Second Amended and Restated Limited Liability Company Agreement of Centennial Founders,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30</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10.42</w:t>
            </w:r>
          </w:p>
        </w:tc>
        <w:tc>
          <w:tcPr>
            <w:tcW w:w="8340" w:type="dxa"/>
            <w:vAlign w:val="bottom"/>
          </w:tcPr>
          <w:p>
            <w:pPr>
              <w:ind w:left="60"/>
              <w:spacing w:after="0"/>
              <w:rPr>
                <w:rFonts w:ascii="Times New Roman" w:cs="Times New Roman" w:eastAsia="Times New Roman" w:hAnsi="Times New Roman"/>
                <w:sz w:val="14"/>
                <w:szCs w:val="14"/>
                <w:color w:val="auto"/>
              </w:rPr>
            </w:pPr>
            <w:hyperlink r:id="rId127">
              <w:r>
                <w:rPr>
                  <w:rFonts w:ascii="Times New Roman" w:cs="Times New Roman" w:eastAsia="Times New Roman" w:hAnsi="Times New Roman"/>
                  <w:sz w:val="14"/>
                  <w:szCs w:val="14"/>
                  <w:color w:val="auto"/>
                </w:rPr>
                <w:t>Limited Liability Company Agreement of TRC-MRC 3,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10.43</w:t>
            </w:r>
          </w:p>
        </w:tc>
        <w:tc>
          <w:tcPr>
            <w:tcW w:w="8340" w:type="dxa"/>
            <w:vAlign w:val="bottom"/>
          </w:tcPr>
          <w:p>
            <w:pPr>
              <w:ind w:left="60"/>
              <w:spacing w:after="0"/>
              <w:rPr>
                <w:rFonts w:ascii="Times New Roman" w:cs="Times New Roman" w:eastAsia="Times New Roman" w:hAnsi="Times New Roman"/>
                <w:sz w:val="14"/>
                <w:szCs w:val="14"/>
                <w:color w:val="auto"/>
              </w:rPr>
            </w:pPr>
            <w:hyperlink r:id="rId128">
              <w:r>
                <w:rPr>
                  <w:rFonts w:ascii="Times New Roman" w:cs="Times New Roman" w:eastAsia="Times New Roman" w:hAnsi="Times New Roman"/>
                  <w:sz w:val="14"/>
                  <w:szCs w:val="14"/>
                  <w:color w:val="auto"/>
                </w:rPr>
                <w:t>Fourth Amendment to Second Amended and Restated Limited Liability Company Agreement of Centennial Founders,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32</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10.44</w:t>
            </w:r>
          </w:p>
        </w:tc>
        <w:tc>
          <w:tcPr>
            <w:tcW w:w="8340" w:type="dxa"/>
            <w:vAlign w:val="bottom"/>
          </w:tcPr>
          <w:p>
            <w:pPr>
              <w:ind w:left="60"/>
              <w:spacing w:after="0"/>
              <w:rPr>
                <w:rFonts w:ascii="Times New Roman" w:cs="Times New Roman" w:eastAsia="Times New Roman" w:hAnsi="Times New Roman"/>
                <w:sz w:val="14"/>
                <w:szCs w:val="14"/>
                <w:color w:val="auto"/>
              </w:rPr>
            </w:pPr>
            <w:hyperlink r:id="rId129">
              <w:r>
                <w:rPr>
                  <w:rFonts w:ascii="Times New Roman" w:cs="Times New Roman" w:eastAsia="Times New Roman" w:hAnsi="Times New Roman"/>
                  <w:sz w:val="14"/>
                  <w:szCs w:val="14"/>
                  <w:color w:val="auto"/>
                </w:rPr>
                <w:t>Centennial Founders, LLC Redemption and Withdrawal Agreement - CalAtlantic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10.47</w:t>
            </w:r>
          </w:p>
        </w:tc>
        <w:tc>
          <w:tcPr>
            <w:tcW w:w="8340" w:type="dxa"/>
            <w:vAlign w:val="bottom"/>
          </w:tcPr>
          <w:p>
            <w:pPr>
              <w:ind w:left="60"/>
              <w:spacing w:after="0"/>
              <w:rPr>
                <w:rFonts w:ascii="Times New Roman" w:cs="Times New Roman" w:eastAsia="Times New Roman" w:hAnsi="Times New Roman"/>
                <w:sz w:val="14"/>
                <w:szCs w:val="14"/>
                <w:color w:val="auto"/>
              </w:rPr>
            </w:pPr>
            <w:hyperlink r:id="rId130">
              <w:r>
                <w:rPr>
                  <w:rFonts w:ascii="Times New Roman" w:cs="Times New Roman" w:eastAsia="Times New Roman" w:hAnsi="Times New Roman"/>
                  <w:sz w:val="14"/>
                  <w:szCs w:val="14"/>
                  <w:color w:val="auto"/>
                </w:rPr>
                <w:t>*Executive Severance Agreement - Executive Severance Agreement - Gregory S. Bielli</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38</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10.48</w:t>
            </w:r>
          </w:p>
        </w:tc>
        <w:tc>
          <w:tcPr>
            <w:tcW w:w="8340" w:type="dxa"/>
            <w:vAlign w:val="bottom"/>
          </w:tcPr>
          <w:p>
            <w:pPr>
              <w:ind w:left="60"/>
              <w:spacing w:after="0"/>
              <w:rPr>
                <w:rFonts w:ascii="Times New Roman" w:cs="Times New Roman" w:eastAsia="Times New Roman" w:hAnsi="Times New Roman"/>
                <w:sz w:val="14"/>
                <w:szCs w:val="14"/>
                <w:color w:val="auto"/>
              </w:rPr>
            </w:pPr>
            <w:hyperlink r:id="rId131">
              <w:r>
                <w:rPr>
                  <w:rFonts w:ascii="Times New Roman" w:cs="Times New Roman" w:eastAsia="Times New Roman" w:hAnsi="Times New Roman"/>
                  <w:sz w:val="14"/>
                  <w:szCs w:val="14"/>
                  <w:color w:val="auto"/>
                </w:rPr>
                <w:t>Limited Liability Company Agreement of TRC-MRC 4,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39</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10.49</w:t>
            </w:r>
          </w:p>
        </w:tc>
        <w:tc>
          <w:tcPr>
            <w:tcW w:w="8340" w:type="dxa"/>
            <w:vAlign w:val="bottom"/>
          </w:tcPr>
          <w:p>
            <w:pPr>
              <w:ind w:left="60"/>
              <w:spacing w:after="0"/>
              <w:rPr>
                <w:rFonts w:ascii="Times New Roman" w:cs="Times New Roman" w:eastAsia="Times New Roman" w:hAnsi="Times New Roman"/>
                <w:sz w:val="14"/>
                <w:szCs w:val="14"/>
                <w:color w:val="auto"/>
              </w:rPr>
            </w:pPr>
            <w:hyperlink r:id="rId132">
              <w:r>
                <w:rPr>
                  <w:rFonts w:ascii="Times New Roman" w:cs="Times New Roman" w:eastAsia="Times New Roman" w:hAnsi="Times New Roman"/>
                  <w:sz w:val="14"/>
                  <w:szCs w:val="14"/>
                  <w:color w:val="auto"/>
                </w:rPr>
                <w:t>Settlement Agreement of CEQA litigation with Climate Resolve</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40</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10.50</w:t>
            </w:r>
          </w:p>
        </w:tc>
        <w:tc>
          <w:tcPr>
            <w:tcW w:w="8340" w:type="dxa"/>
            <w:vAlign w:val="bottom"/>
          </w:tcPr>
          <w:p>
            <w:pPr>
              <w:ind w:left="60"/>
              <w:spacing w:after="0"/>
              <w:rPr>
                <w:rFonts w:ascii="Times New Roman" w:cs="Times New Roman" w:eastAsia="Times New Roman" w:hAnsi="Times New Roman"/>
                <w:sz w:val="14"/>
                <w:szCs w:val="14"/>
                <w:color w:val="auto"/>
              </w:rPr>
            </w:pPr>
            <w:hyperlink r:id="rId133">
              <w:r>
                <w:rPr>
                  <w:rFonts w:ascii="Times New Roman" w:cs="Times New Roman" w:eastAsia="Times New Roman" w:hAnsi="Times New Roman"/>
                  <w:sz w:val="14"/>
                  <w:szCs w:val="14"/>
                  <w:color w:val="auto"/>
                </w:rPr>
                <w:t>Limited Liability Company Agreement of TRC-MRC Multi I,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10.51</w:t>
            </w:r>
          </w:p>
        </w:tc>
        <w:tc>
          <w:tcPr>
            <w:tcW w:w="8340" w:type="dxa"/>
            <w:vAlign w:val="bottom"/>
          </w:tcPr>
          <w:p>
            <w:pPr>
              <w:ind w:left="60"/>
              <w:spacing w:after="0"/>
              <w:rPr>
                <w:rFonts w:ascii="Times New Roman" w:cs="Times New Roman" w:eastAsia="Times New Roman" w:hAnsi="Times New Roman"/>
                <w:sz w:val="14"/>
                <w:szCs w:val="14"/>
                <w:color w:val="auto"/>
              </w:rPr>
            </w:pPr>
            <w:hyperlink r:id="rId134">
              <w:r>
                <w:rPr>
                  <w:rFonts w:ascii="Times New Roman" w:cs="Times New Roman" w:eastAsia="Times New Roman" w:hAnsi="Times New Roman"/>
                  <w:sz w:val="14"/>
                  <w:szCs w:val="14"/>
                  <w:color w:val="auto"/>
                </w:rPr>
                <w:t>Limited Liability Company Agreement of TRC-MRC 5,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42</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10.52</w:t>
            </w:r>
          </w:p>
        </w:tc>
        <w:tc>
          <w:tcPr>
            <w:tcW w:w="8340" w:type="dxa"/>
            <w:vAlign w:val="bottom"/>
          </w:tcPr>
          <w:p>
            <w:pPr>
              <w:ind w:left="60"/>
              <w:spacing w:after="0"/>
              <w:rPr>
                <w:rFonts w:ascii="Times New Roman" w:cs="Times New Roman" w:eastAsia="Times New Roman" w:hAnsi="Times New Roman"/>
                <w:sz w:val="14"/>
                <w:szCs w:val="14"/>
                <w:color w:val="auto"/>
              </w:rPr>
            </w:pPr>
            <w:hyperlink r:id="rId135">
              <w:r>
                <w:rPr>
                  <w:rFonts w:ascii="Times New Roman" w:cs="Times New Roman" w:eastAsia="Times New Roman" w:hAnsi="Times New Roman"/>
                  <w:sz w:val="14"/>
                  <w:szCs w:val="14"/>
                  <w:color w:val="auto"/>
                </w:rPr>
                <w:t>Credit Agreement Between Tejon Ranchcorp and Bank of America, N.A.</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10.53</w:t>
            </w:r>
          </w:p>
        </w:tc>
        <w:tc>
          <w:tcPr>
            <w:tcW w:w="8340" w:type="dxa"/>
            <w:vAlign w:val="bottom"/>
          </w:tcPr>
          <w:p>
            <w:pPr>
              <w:ind w:left="60"/>
              <w:spacing w:after="0"/>
              <w:rPr>
                <w:rFonts w:ascii="Times New Roman" w:cs="Times New Roman" w:eastAsia="Times New Roman" w:hAnsi="Times New Roman"/>
                <w:sz w:val="14"/>
                <w:szCs w:val="14"/>
                <w:color w:val="auto"/>
              </w:rPr>
            </w:pPr>
            <w:hyperlink r:id="rId136">
              <w:r>
                <w:rPr>
                  <w:rFonts w:ascii="Times New Roman" w:cs="Times New Roman" w:eastAsia="Times New Roman" w:hAnsi="Times New Roman"/>
                  <w:sz w:val="14"/>
                  <w:szCs w:val="14"/>
                  <w:color w:val="auto"/>
                </w:rPr>
                <w:t>Executive Officer Severance Agreement – Marc Hardy</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44</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10.54</w:t>
            </w:r>
          </w:p>
        </w:tc>
        <w:tc>
          <w:tcPr>
            <w:tcW w:w="8340" w:type="dxa"/>
            <w:vAlign w:val="bottom"/>
          </w:tcPr>
          <w:p>
            <w:pPr>
              <w:ind w:left="60"/>
              <w:spacing w:after="0"/>
              <w:rPr>
                <w:rFonts w:ascii="Times New Roman" w:cs="Times New Roman" w:eastAsia="Times New Roman" w:hAnsi="Times New Roman"/>
                <w:sz w:val="14"/>
                <w:szCs w:val="14"/>
                <w:color w:val="auto"/>
              </w:rPr>
            </w:pPr>
            <w:hyperlink r:id="rId137">
              <w:r>
                <w:rPr>
                  <w:rFonts w:ascii="Times New Roman" w:cs="Times New Roman" w:eastAsia="Times New Roman" w:hAnsi="Times New Roman"/>
                  <w:sz w:val="14"/>
                  <w:szCs w:val="14"/>
                  <w:color w:val="auto"/>
                </w:rPr>
                <w:t>Credit Agreement Between Tejon Ranchcorp and AgWest Farm Credit, PCA</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45</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10.55</w:t>
            </w:r>
          </w:p>
        </w:tc>
        <w:tc>
          <w:tcPr>
            <w:tcW w:w="8340" w:type="dxa"/>
            <w:vAlign w:val="bottom"/>
          </w:tcPr>
          <w:p>
            <w:pPr>
              <w:ind w:left="60"/>
              <w:spacing w:after="0"/>
              <w:rPr>
                <w:rFonts w:ascii="Times New Roman" w:cs="Times New Roman" w:eastAsia="Times New Roman" w:hAnsi="Times New Roman"/>
                <w:sz w:val="14"/>
                <w:szCs w:val="14"/>
                <w:color w:val="auto"/>
              </w:rPr>
            </w:pPr>
            <w:hyperlink r:id="rId138">
              <w:r>
                <w:rPr>
                  <w:rFonts w:ascii="Times New Roman" w:cs="Times New Roman" w:eastAsia="Times New Roman" w:hAnsi="Times New Roman"/>
                  <w:sz w:val="14"/>
                  <w:szCs w:val="14"/>
                  <w:color w:val="auto"/>
                </w:rPr>
                <w:t>Consulting Letter Agreement between Tejon Ranch Co. and Gregory S. Bielli</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46</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10.56</w:t>
            </w:r>
          </w:p>
        </w:tc>
        <w:tc>
          <w:tcPr>
            <w:tcW w:w="8340" w:type="dxa"/>
            <w:vAlign w:val="bottom"/>
          </w:tcPr>
          <w:p>
            <w:pPr>
              <w:ind w:left="60"/>
              <w:spacing w:after="0"/>
              <w:rPr>
                <w:rFonts w:ascii="Times New Roman" w:cs="Times New Roman" w:eastAsia="Times New Roman" w:hAnsi="Times New Roman"/>
                <w:sz w:val="14"/>
                <w:szCs w:val="14"/>
                <w:color w:val="auto"/>
              </w:rPr>
            </w:pPr>
            <w:hyperlink r:id="rId139">
              <w:r>
                <w:rPr>
                  <w:rFonts w:ascii="Times New Roman" w:cs="Times New Roman" w:eastAsia="Times New Roman" w:hAnsi="Times New Roman"/>
                  <w:sz w:val="14"/>
                  <w:szCs w:val="14"/>
                  <w:color w:val="auto"/>
                </w:rPr>
                <w:t>Limited Liability Company Agreement of TRC-DP 1, LLC</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47</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10.57</w:t>
            </w:r>
          </w:p>
        </w:tc>
        <w:tc>
          <w:tcPr>
            <w:tcW w:w="8340" w:type="dxa"/>
            <w:vAlign w:val="bottom"/>
          </w:tcPr>
          <w:p>
            <w:pPr>
              <w:ind w:left="60"/>
              <w:spacing w:after="0"/>
              <w:rPr>
                <w:rFonts w:ascii="Times New Roman" w:cs="Times New Roman" w:eastAsia="Times New Roman" w:hAnsi="Times New Roman"/>
                <w:sz w:val="14"/>
                <w:szCs w:val="14"/>
                <w:color w:val="auto"/>
              </w:rPr>
            </w:pPr>
            <w:hyperlink r:id="rId140">
              <w:r>
                <w:rPr>
                  <w:rFonts w:ascii="Times New Roman" w:cs="Times New Roman" w:eastAsia="Times New Roman" w:hAnsi="Times New Roman"/>
                  <w:sz w:val="14"/>
                  <w:szCs w:val="14"/>
                  <w:color w:val="auto"/>
                </w:rPr>
                <w:t>*Compensatory Agreement approved by the Board on February 10, 2025, by and among Tejon Ranch Co. and Matthew H. Walker</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48</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10.58</w:t>
            </w:r>
          </w:p>
        </w:tc>
        <w:tc>
          <w:tcPr>
            <w:tcW w:w="8340" w:type="dxa"/>
            <w:vAlign w:val="bottom"/>
          </w:tcPr>
          <w:p>
            <w:pPr>
              <w:ind w:left="60"/>
              <w:spacing w:after="0"/>
              <w:rPr>
                <w:rFonts w:ascii="Times New Roman" w:cs="Times New Roman" w:eastAsia="Times New Roman" w:hAnsi="Times New Roman"/>
                <w:sz w:val="14"/>
                <w:szCs w:val="14"/>
                <w:color w:val="auto"/>
              </w:rPr>
            </w:pPr>
            <w:hyperlink r:id="rId141">
              <w:r>
                <w:rPr>
                  <w:rFonts w:ascii="Times New Roman" w:cs="Times New Roman" w:eastAsia="Times New Roman" w:hAnsi="Times New Roman"/>
                  <w:sz w:val="14"/>
                  <w:szCs w:val="14"/>
                  <w:color w:val="auto"/>
                </w:rPr>
                <w:t>Support Agreement, by and between Tejon Ranch Co. and Nitor Capital Management, LLC, dated November 4, 2024</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49</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10.59</w:t>
            </w:r>
          </w:p>
        </w:tc>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*Tejon Ranch Co. 2023 Stock Incentive Plan</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10.60</w:t>
            </w:r>
          </w:p>
        </w:tc>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of Restricted Stock Unit 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31.1</w:t>
            </w:r>
          </w:p>
        </w:tc>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as adopted pursuant to Section 302 of the Sarbanes-Oxley Act of 2002</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31.2</w:t>
            </w:r>
          </w:p>
        </w:tc>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as adopted pursuant to Section 302 of the Sarbanes-Oxley Act of 2002</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Certifications Pursuant to 18 U.S.C. Section 1350, as Adopted Pursuant to Section 906 of the Sarbanes-Oxley Act of 2002</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101.INS</w:t>
            </w:r>
          </w:p>
        </w:tc>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Instance Document.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101.SCH</w:t>
            </w:r>
          </w:p>
        </w:tc>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101.CAL</w:t>
            </w:r>
          </w:p>
        </w:tc>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101.DEF</w:t>
            </w:r>
          </w:p>
        </w:tc>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101.LAB</w:t>
            </w:r>
          </w:p>
        </w:tc>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4"/>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101.PRE</w:t>
            </w:r>
          </w:p>
        </w:tc>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bl>
    <w:p>
      <w:pPr>
        <w:ind w:left="1080" w:right="4860" w:hanging="155"/>
        <w:spacing w:after="0" w:line="297" w:lineRule="auto"/>
        <w:tabs>
          <w:tab w:leader="none" w:pos="1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Cover Page Interactive Data File (formatted as Inline XBRL and contained in Exhibit 101). </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Management contract, compensatory plan or arrangement.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1</w:t>
            </w:r>
          </w:p>
        </w:tc>
        <w:tc>
          <w:tcPr>
            <w:tcW w:w="104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3.1 to our Quarterly Report on Form 10-Q for the</w:t>
            </w:r>
          </w:p>
        </w:tc>
      </w:tr>
      <w:tr>
        <w:trPr>
          <w:trHeight w:val="184"/>
        </w:trPr>
        <w:tc>
          <w:tcPr>
            <w:tcW w:w="840" w:type="dxa"/>
            <w:vAlign w:val="bottom"/>
          </w:tcPr>
          <w:p>
            <w:pPr>
              <w:spacing w:after="0"/>
              <w:rPr>
                <w:sz w:val="16"/>
                <w:szCs w:val="16"/>
                <w:color w:val="auto"/>
              </w:rPr>
            </w:pPr>
          </w:p>
        </w:tc>
        <w:tc>
          <w:tcPr>
            <w:tcW w:w="104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period ended June 30, 2021, is incorporated herein by reference.</w:t>
            </w:r>
          </w:p>
        </w:tc>
      </w:tr>
      <w:tr>
        <w:trPr>
          <w:trHeight w:val="145"/>
        </w:trPr>
        <w:tc>
          <w:tcPr>
            <w:tcW w:w="8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w:t>
            </w:r>
          </w:p>
        </w:tc>
        <w:tc>
          <w:tcPr>
            <w:tcW w:w="10440" w:type="dxa"/>
            <w:vAlign w:val="bottom"/>
          </w:tcPr>
          <w:p>
            <w:pPr>
              <w:ind w:left="54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3.1 to our Current Report on Form 8-K filed on</w:t>
            </w:r>
          </w:p>
        </w:tc>
      </w:tr>
      <w:tr>
        <w:trPr>
          <w:trHeight w:val="184"/>
        </w:trPr>
        <w:tc>
          <w:tcPr>
            <w:tcW w:w="840" w:type="dxa"/>
            <w:vAlign w:val="bottom"/>
          </w:tcPr>
          <w:p>
            <w:pPr>
              <w:spacing w:after="0"/>
              <w:rPr>
                <w:sz w:val="16"/>
                <w:szCs w:val="16"/>
                <w:color w:val="auto"/>
              </w:rPr>
            </w:pPr>
          </w:p>
        </w:tc>
        <w:tc>
          <w:tcPr>
            <w:tcW w:w="104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March 24, 2023, is incorporated herein by reference.</w:t>
            </w:r>
          </w:p>
        </w:tc>
      </w:tr>
      <w:tr>
        <w:trPr>
          <w:trHeight w:val="675"/>
        </w:trPr>
        <w:tc>
          <w:tcPr>
            <w:tcW w:w="840" w:type="dxa"/>
            <w:vAlign w:val="bottom"/>
          </w:tcPr>
          <w:p>
            <w:pPr>
              <w:spacing w:after="0"/>
              <w:rPr>
                <w:sz w:val="24"/>
                <w:szCs w:val="24"/>
                <w:color w:val="auto"/>
              </w:rPr>
            </w:pPr>
          </w:p>
        </w:tc>
        <w:tc>
          <w:tcPr>
            <w:tcW w:w="10440" w:type="dxa"/>
            <w:vAlign w:val="bottom"/>
          </w:tcPr>
          <w:p>
            <w:pPr>
              <w:ind w:left="4740"/>
              <w:spacing w:after="0"/>
              <w:rPr>
                <w:sz w:val="20"/>
                <w:szCs w:val="20"/>
                <w:color w:val="auto"/>
              </w:rPr>
            </w:pPr>
            <w:r>
              <w:rPr>
                <w:rFonts w:ascii="Times New Roman" w:cs="Times New Roman" w:eastAsia="Times New Roman" w:hAnsi="Times New Roman"/>
                <w:sz w:val="14"/>
                <w:szCs w:val="14"/>
                <w:color w:val="auto"/>
              </w:rPr>
              <w:t>54</w:t>
            </w:r>
          </w:p>
        </w:tc>
      </w:tr>
      <w:tr>
        <w:trPr>
          <w:trHeight w:val="87"/>
        </w:trPr>
        <w:tc>
          <w:tcPr>
            <w:tcW w:w="840" w:type="dxa"/>
            <w:vAlign w:val="bottom"/>
            <w:tcBorders>
              <w:bottom w:val="single" w:sz="8" w:color="9A9A9A"/>
            </w:tcBorders>
          </w:tcPr>
          <w:p>
            <w:pPr>
              <w:spacing w:after="0"/>
              <w:rPr>
                <w:sz w:val="7"/>
                <w:szCs w:val="7"/>
                <w:color w:val="auto"/>
              </w:rPr>
            </w:pPr>
          </w:p>
        </w:tc>
        <w:tc>
          <w:tcPr>
            <w:tcW w:w="10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5</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4.1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December 20, 2005,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6</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under Item 14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1994, is incorporated herein by reference. This Exhibit was not filed with the Securities and Exchange Commission in an electronic format.</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7</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under Item 14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1997,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8</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10.9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2008,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10.10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2008,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10</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10.16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2001,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11</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4.1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May 7, 2004,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12</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4.2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May 7, 2004,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13</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Exhibits 10.21-10.23 to our Annual Report on Form 10-K</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for the year ended December 31, 2004,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14</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10.24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May 24, 2006,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15</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10.28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June 23, 2008,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16</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10.25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2009,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17</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10.26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March 31, 2013, for the period ended March 31, 2013,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18</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10.27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June 4, 2013,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August 8, 2013,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20</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10.29 to our Amended Annual Report on Form 10-</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K/A for the year ended December 31, 2013,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21</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10.30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July 16, 2014,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23</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10.34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24</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10.35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2015,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26</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10.37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2016, is incorporated herein by reference.</w:t>
            </w:r>
          </w:p>
        </w:tc>
      </w:tr>
      <w:tr>
        <w:trPr>
          <w:trHeight w:val="686"/>
        </w:trPr>
        <w:tc>
          <w:tcPr>
            <w:tcW w:w="880" w:type="dxa"/>
            <w:vAlign w:val="bottom"/>
          </w:tcPr>
          <w:p>
            <w:pPr>
              <w:spacing w:after="0"/>
              <w:rPr>
                <w:sz w:val="24"/>
                <w:szCs w:val="24"/>
                <w:color w:val="auto"/>
              </w:rPr>
            </w:pPr>
          </w:p>
        </w:tc>
        <w:tc>
          <w:tcPr>
            <w:tcW w:w="10400" w:type="dxa"/>
            <w:vAlign w:val="bottom"/>
          </w:tcPr>
          <w:p>
            <w:pPr>
              <w:ind w:left="4700"/>
              <w:spacing w:after="0"/>
              <w:rPr>
                <w:sz w:val="20"/>
                <w:szCs w:val="20"/>
                <w:color w:val="auto"/>
              </w:rPr>
            </w:pPr>
            <w:r>
              <w:rPr>
                <w:rFonts w:ascii="Times New Roman" w:cs="Times New Roman" w:eastAsia="Times New Roman" w:hAnsi="Times New Roman"/>
                <w:sz w:val="14"/>
                <w:szCs w:val="14"/>
                <w:color w:val="auto"/>
              </w:rPr>
              <w:t>55</w:t>
            </w:r>
          </w:p>
        </w:tc>
      </w:tr>
      <w:tr>
        <w:trPr>
          <w:trHeight w:val="87"/>
        </w:trPr>
        <w:tc>
          <w:tcPr>
            <w:tcW w:w="880" w:type="dxa"/>
            <w:vAlign w:val="bottom"/>
            <w:tcBorders>
              <w:bottom w:val="single" w:sz="8" w:color="9A9A9A"/>
            </w:tcBorders>
          </w:tcPr>
          <w:p>
            <w:pPr>
              <w:spacing w:after="0"/>
              <w:rPr>
                <w:sz w:val="7"/>
                <w:szCs w:val="7"/>
                <w:color w:val="auto"/>
              </w:rPr>
            </w:pPr>
          </w:p>
        </w:tc>
        <w:tc>
          <w:tcPr>
            <w:tcW w:w="10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27</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10.38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28</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10.39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10.40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30</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10.41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31</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10.42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2018,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32</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10.43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33</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10.44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37</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333-231032) as Exhibit 4.6 to our Registration Statement on Form S-3</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filed on April 25, 2019,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38</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10.47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2019,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10.48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March 31, 2021, is incorporated herein by reference.</w:t>
            </w:r>
          </w:p>
        </w:tc>
      </w:tr>
      <w:tr>
        <w:trPr>
          <w:trHeight w:val="16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40</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10.49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2021, is incorporated herein by reference.</w:t>
            </w:r>
          </w:p>
        </w:tc>
      </w:tr>
      <w:tr>
        <w:trPr>
          <w:trHeight w:val="17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41</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10.50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2021, is incorporated herein by reference.</w:t>
            </w:r>
          </w:p>
        </w:tc>
      </w:tr>
      <w:tr>
        <w:trPr>
          <w:trHeight w:val="17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42</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10.51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March 31, 2022, is incorporated herein by reference.</w:t>
            </w:r>
          </w:p>
        </w:tc>
      </w:tr>
      <w:tr>
        <w:trPr>
          <w:trHeight w:val="17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43</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10.52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2022, is incorporated herein by reference.</w:t>
            </w:r>
          </w:p>
        </w:tc>
      </w:tr>
      <w:tr>
        <w:trPr>
          <w:trHeight w:val="17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44</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10.53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2023, is incorporated herein by reference.</w:t>
            </w:r>
          </w:p>
        </w:tc>
      </w:tr>
      <w:tr>
        <w:trPr>
          <w:trHeight w:val="160"/>
        </w:trPr>
        <w:tc>
          <w:tcPr>
            <w:tcW w:w="8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FN 45</w:t>
            </w:r>
          </w:p>
        </w:tc>
        <w:tc>
          <w:tcPr>
            <w:tcW w:w="10400" w:type="dxa"/>
            <w:vAlign w:val="bottom"/>
          </w:tcPr>
          <w:p>
            <w:pPr>
              <w:ind w:left="500"/>
              <w:spacing w:after="0" w:line="159"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10.01 to our Current Report on Form 8-K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November 20, 2023,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46</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10.01 to our Current Report on Form 8-K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March 26, 2024,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47</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10.56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2024,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48</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10.01 to our Current Report on Form 8-K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February 11, 2025,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49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10.01 to our Current Report on Form 8-K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November 8, 2024, is incorporated herein by reference.</w:t>
            </w:r>
          </w:p>
        </w:tc>
      </w:tr>
      <w:tr>
        <w:trPr>
          <w:trHeight w:val="686"/>
        </w:trPr>
        <w:tc>
          <w:tcPr>
            <w:tcW w:w="880" w:type="dxa"/>
            <w:vAlign w:val="bottom"/>
          </w:tcPr>
          <w:p>
            <w:pPr>
              <w:spacing w:after="0"/>
              <w:rPr>
                <w:sz w:val="24"/>
                <w:szCs w:val="24"/>
                <w:color w:val="auto"/>
              </w:rPr>
            </w:pPr>
          </w:p>
        </w:tc>
        <w:tc>
          <w:tcPr>
            <w:tcW w:w="10400" w:type="dxa"/>
            <w:vAlign w:val="bottom"/>
          </w:tcPr>
          <w:p>
            <w:pPr>
              <w:ind w:left="4700"/>
              <w:spacing w:after="0"/>
              <w:rPr>
                <w:sz w:val="20"/>
                <w:szCs w:val="20"/>
                <w:color w:val="auto"/>
              </w:rPr>
            </w:pPr>
            <w:r>
              <w:rPr>
                <w:rFonts w:ascii="Times New Roman" w:cs="Times New Roman" w:eastAsia="Times New Roman" w:hAnsi="Times New Roman"/>
                <w:sz w:val="14"/>
                <w:szCs w:val="14"/>
                <w:color w:val="auto"/>
              </w:rPr>
              <w:t>56</w:t>
            </w:r>
          </w:p>
        </w:tc>
      </w:tr>
      <w:tr>
        <w:trPr>
          <w:trHeight w:val="87"/>
        </w:trPr>
        <w:tc>
          <w:tcPr>
            <w:tcW w:w="880" w:type="dxa"/>
            <w:vAlign w:val="bottom"/>
            <w:tcBorders>
              <w:bottom w:val="single" w:sz="8" w:color="9A9A9A"/>
            </w:tcBorders>
          </w:tcPr>
          <w:p>
            <w:pPr>
              <w:spacing w:after="0"/>
              <w:rPr>
                <w:sz w:val="7"/>
                <w:szCs w:val="7"/>
                <w:color w:val="auto"/>
              </w:rPr>
            </w:pPr>
          </w:p>
        </w:tc>
        <w:tc>
          <w:tcPr>
            <w:tcW w:w="10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56" w:name="page57"/>
    <w:bookmarkEnd w:id="56"/>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TEJON RANCH CO.</w:t>
            </w:r>
          </w:p>
        </w:tc>
      </w:tr>
      <w:tr>
        <w:trPr>
          <w:trHeight w:val="584"/>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August 7, 2025</w:t>
            </w:r>
          </w:p>
        </w:tc>
        <w:tc>
          <w:tcPr>
            <w:tcW w:w="264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5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Matthew H. Walker</w:t>
            </w:r>
          </w:p>
        </w:tc>
      </w:tr>
      <w:tr>
        <w:trPr>
          <w:trHeight w:val="16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2640" w:type="dxa"/>
            <w:vAlign w:val="bottom"/>
          </w:tcPr>
          <w:p>
            <w:pPr>
              <w:spacing w:after="0"/>
              <w:rPr>
                <w:sz w:val="14"/>
                <w:szCs w:val="14"/>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Matthew H. Walker</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29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9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August 7, 2025</w:t>
            </w:r>
          </w:p>
        </w:tc>
        <w:tc>
          <w:tcPr>
            <w:tcW w:w="264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5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Robert D. Velasquez</w:t>
            </w:r>
          </w:p>
        </w:tc>
      </w:tr>
      <w:tr>
        <w:trPr>
          <w:trHeight w:val="16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2640" w:type="dxa"/>
            <w:vAlign w:val="bottom"/>
          </w:tcPr>
          <w:p>
            <w:pPr>
              <w:spacing w:after="0"/>
              <w:rPr>
                <w:sz w:val="14"/>
                <w:szCs w:val="14"/>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Robert D. Velasquez</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 Treasurer, Senior Vice President, Finance and Chief Accounting Officer</w:t>
            </w:r>
          </w:p>
        </w:tc>
      </w:tr>
      <w:tr>
        <w:trPr>
          <w:trHeight w:val="184"/>
        </w:trPr>
        <w:tc>
          <w:tcPr>
            <w:tcW w:w="29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668"/>
        </w:trPr>
        <w:tc>
          <w:tcPr>
            <w:tcW w:w="2960" w:type="dxa"/>
            <w:vAlign w:val="bottom"/>
          </w:tcPr>
          <w:p>
            <w:pPr>
              <w:spacing w:after="0"/>
              <w:rPr>
                <w:sz w:val="24"/>
                <w:szCs w:val="24"/>
                <w:color w:val="auto"/>
              </w:rPr>
            </w:pPr>
          </w:p>
        </w:tc>
        <w:tc>
          <w:tcPr>
            <w:tcW w:w="28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57</w:t>
            </w:r>
          </w:p>
        </w:tc>
        <w:tc>
          <w:tcPr>
            <w:tcW w:w="5440" w:type="dxa"/>
            <w:vAlign w:val="bottom"/>
          </w:tcPr>
          <w:p>
            <w:pPr>
              <w:spacing w:after="0"/>
              <w:rPr>
                <w:sz w:val="24"/>
                <w:szCs w:val="24"/>
                <w:color w:val="auto"/>
              </w:rPr>
            </w:pPr>
          </w:p>
        </w:tc>
      </w:tr>
    </w:tbl>
    <w:p>
      <w:pPr>
        <w:sectPr>
          <w:pgSz w:w="11900" w:h="16838" w:orient="portrait"/>
          <w:cols w:equalWidth="0" w:num="1">
            <w:col w:w="11260"/>
          </w:cols>
          <w:pgMar w:left="300" w:top="727" w:right="339" w:bottom="1440"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Matthew H. Walker, certify that:</w:t>
      </w:r>
    </w:p>
    <w:p>
      <w:pPr>
        <w:spacing w:after="0" w:line="136" w:lineRule="exact"/>
        <w:rPr>
          <w:sz w:val="20"/>
          <w:szCs w:val="20"/>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60" w:hanging="255"/>
        <w:spacing w:after="0" w:line="287"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August 7, 2025</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Matthew H. Walker</w:t>
            </w:r>
          </w:p>
        </w:tc>
      </w:tr>
      <w:tr>
        <w:trPr>
          <w:trHeight w:val="167"/>
        </w:trPr>
        <w:tc>
          <w:tcPr>
            <w:tcW w:w="5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Matthew H. Walker</w:t>
            </w:r>
          </w:p>
        </w:tc>
      </w:tr>
      <w:tr>
        <w:trPr>
          <w:trHeight w:val="184"/>
        </w:trPr>
        <w:tc>
          <w:tcPr>
            <w:tcW w:w="5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27" w:right="31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Robert D. Velasquez, certify that:</w:t>
      </w:r>
    </w:p>
    <w:p>
      <w:pPr>
        <w:spacing w:after="0" w:line="136"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August 7, 2025</w:t>
            </w:r>
          </w:p>
        </w:tc>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D. Velasquez</w:t>
            </w:r>
          </w:p>
        </w:tc>
      </w:tr>
      <w:tr>
        <w:trPr>
          <w:trHeight w:val="167"/>
        </w:trPr>
        <w:tc>
          <w:tcPr>
            <w:tcW w:w="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9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Robert D. Velasquez</w:t>
            </w:r>
          </w:p>
        </w:tc>
      </w:tr>
      <w:tr>
        <w:trPr>
          <w:trHeight w:val="184"/>
        </w:trPr>
        <w:tc>
          <w:tcPr>
            <w:tcW w:w="5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69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Chief Financial Officer, Treasurer, Senior Vice President, Finance and Chief Accounting Officer</w:t>
            </w:r>
          </w:p>
        </w:tc>
      </w:tr>
    </w:tbl>
    <w:p>
      <w:pPr>
        <w:sectPr>
          <w:pgSz w:w="11900" w:h="16838" w:orient="portrait"/>
          <w:cols w:equalWidth="0" w:num="1">
            <w:col w:w="11280"/>
          </w:cols>
          <w:pgMar w:left="300" w:top="728" w:right="319" w:bottom="1440" w:gutter="0" w:footer="0" w:header="0"/>
        </w:sectPr>
      </w:pPr>
    </w:p>
    <w:bookmarkStart w:id="78" w:name="page79"/>
    <w:bookmarkEnd w:id="78"/>
    <w:p>
      <w:pPr>
        <w:ind w:left="5260"/>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of the undersigned hereby certifies, in his capacity as an officer of Tejon Ranch Co. (the “Company”), for purposes of 18 U.S.C. Section 1350, as adopted pursuant to Section 906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Sarbanes-Oxley Act of 2002, that to his own knowledge:</w:t>
      </w:r>
    </w:p>
    <w:p>
      <w:pPr>
        <w:spacing w:after="0" w:line="185" w:lineRule="exact"/>
        <w:rPr>
          <w:sz w:val="20"/>
          <w:szCs w:val="20"/>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of the Company on Form 10-Q for the period ended June 30, 2025 fully complies with the requirements of Section 13(a) of the Securities Exchange Act of 1934; and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such report fairly presents, in all material respects, the financial condition and results of operation of the Company.</w:t>
      </w:r>
    </w:p>
    <w:p>
      <w:pPr>
        <w:spacing w:after="0" w:line="12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09" w:lineRule="exact"/>
        <w:rPr>
          <w:sz w:val="20"/>
          <w:szCs w:val="20"/>
          <w:color w:val="auto"/>
        </w:rPr>
      </w:pPr>
    </w:p>
    <w:p>
      <w:pPr>
        <w:ind w:left="20"/>
        <w:spacing w:after="0"/>
        <w:tabs>
          <w:tab w:leader="none" w:pos="338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August 7, 2025</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Matthew H.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8498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Matthew H. Walker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8498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Robert D. Velasquez</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 Treasurer, Senior Vice President, Finance and Chief Accounting Officer</w:t>
      </w:r>
    </w:p>
    <w:sectPr>
      <w:pgSz w:w="11900" w:h="16838" w:orient="portrait"/>
      <w:cols w:equalWidth="0" w:num="1">
        <w:col w:w="11120"/>
      </w:cols>
      <w:pgMar w:left="300" w:top="72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bullet"/>
      <w:start w:val="1"/>
    </w:lvl>
  </w:abstractNum>
  <w:abstractNum w:abstractNumId="3">
    <w:nsid w:val="B03E0C6"/>
    <w:multiLevelType w:val="hybridMultilevel"/>
    <w:lvl w:ilvl="0">
      <w:lvlJc w:val="left"/>
      <w:lvlText w:val="%1."/>
      <w:numFmt w:val="decimal"/>
      <w:start w:val="3"/>
    </w:lvl>
  </w:abstractNum>
  <w:abstractNum w:abstractNumId="4">
    <w:nsid w:val="189A769B"/>
    <w:multiLevelType w:val="hybridMultilevel"/>
    <w:lvl w:ilvl="0">
      <w:lvlJc w:val="left"/>
      <w:lvlText w:val="%1."/>
      <w:numFmt w:val="decimal"/>
      <w:start w:val="4"/>
    </w:lvl>
  </w:abstractNum>
  <w:abstractNum w:abstractNumId="5">
    <w:nsid w:val="54E49EB4"/>
    <w:multiLevelType w:val="hybridMultilevel"/>
    <w:lvl w:ilvl="0">
      <w:lvlJc w:val="left"/>
      <w:lvlText w:val="%1."/>
      <w:numFmt w:val="decimal"/>
      <w:start w:val="5"/>
    </w:lvl>
  </w:abstractNum>
  <w:abstractNum w:abstractNumId="6">
    <w:nsid w:val="71F32454"/>
    <w:multiLevelType w:val="hybridMultilevel"/>
    <w:lvl w:ilvl="0">
      <w:lvlJc w:val="left"/>
      <w:lvlText w:val="1"/>
      <w:numFmt w:val="bullet"/>
      <w:start w:val="1"/>
    </w:lvl>
  </w:abstractNum>
  <w:abstractNum w:abstractNumId="7">
    <w:nsid w:val="2CA88611"/>
    <w:multiLevelType w:val="hybridMultilevel"/>
    <w:lvl w:ilvl="0">
      <w:lvlJc w:val="left"/>
      <w:lvlText w:val="%1."/>
      <w:numFmt w:val="decimal"/>
      <w:start w:val="7"/>
    </w:lvl>
  </w:abstractNum>
  <w:abstractNum w:abstractNumId="8">
    <w:nsid w:val="836C40E"/>
    <w:multiLevelType w:val="hybridMultilevel"/>
    <w:lvl w:ilvl="0">
      <w:lvlJc w:val="left"/>
      <w:lvlText w:val="1"/>
      <w:numFmt w:val="bullet"/>
      <w:start w:val="1"/>
    </w:lvl>
  </w:abstractNum>
  <w:abstractNum w:abstractNumId="9">
    <w:nsid w:val="2901D82"/>
    <w:multiLevelType w:val="hybridMultilevel"/>
    <w:lvl w:ilvl="0">
      <w:lvlJc w:val="left"/>
      <w:lvlText w:val="%1."/>
      <w:numFmt w:val="decimal"/>
      <w:start w:val="8"/>
    </w:lvl>
  </w:abstractNum>
  <w:abstractNum w:abstractNumId="10">
    <w:nsid w:val="3A95F874"/>
    <w:multiLevelType w:val="hybridMultilevel"/>
    <w:lvl w:ilvl="0">
      <w:lvlJc w:val="left"/>
      <w:lvlText w:val="%1."/>
      <w:numFmt w:val="decimal"/>
      <w:start w:val="9"/>
    </w:lvl>
  </w:abstractNum>
  <w:abstractNum w:abstractNumId="11">
    <w:nsid w:val="8138641"/>
    <w:multiLevelType w:val="hybridMultilevel"/>
    <w:lvl w:ilvl="0">
      <w:lvlJc w:val="left"/>
      <w:lvlText w:val="%1."/>
      <w:numFmt w:val="decimal"/>
      <w:start w:val="10"/>
    </w:lvl>
  </w:abstractNum>
  <w:abstractNum w:abstractNumId="12">
    <w:nsid w:val="1E7FF521"/>
    <w:multiLevelType w:val="hybridMultilevel"/>
    <w:lvl w:ilvl="0">
      <w:lvlJc w:val="left"/>
      <w:lvlText w:val="%1."/>
      <w:numFmt w:val="decimal"/>
      <w:start w:val="11"/>
    </w:lvl>
  </w:abstractNum>
  <w:abstractNum w:abstractNumId="13">
    <w:nsid w:val="7C3DBD3D"/>
    <w:multiLevelType w:val="hybridMultilevel"/>
    <w:lvl w:ilvl="0">
      <w:lvlJc w:val="left"/>
      <w:lvlText w:val="1"/>
      <w:numFmt w:val="bullet"/>
      <w:start w:val="1"/>
    </w:lvl>
  </w:abstractNum>
  <w:abstractNum w:abstractNumId="14">
    <w:nsid w:val="737B8DDC"/>
    <w:multiLevelType w:val="hybridMultilevel"/>
    <w:lvl w:ilvl="0">
      <w:lvlJc w:val="left"/>
      <w:lvlText w:val="1"/>
      <w:numFmt w:val="bullet"/>
      <w:start w:val="1"/>
    </w:lvl>
  </w:abstractNum>
  <w:abstractNum w:abstractNumId="15">
    <w:nsid w:val="6CEAF087"/>
    <w:multiLevelType w:val="hybridMultilevel"/>
    <w:lvl w:ilvl="0">
      <w:lvlJc w:val="left"/>
      <w:lvlText w:val="2"/>
      <w:numFmt w:val="bullet"/>
      <w:start w:val="1"/>
    </w:lvl>
  </w:abstractNum>
  <w:abstractNum w:abstractNumId="16">
    <w:nsid w:val="22221A70"/>
    <w:multiLevelType w:val="hybridMultilevel"/>
    <w:lvl w:ilvl="0">
      <w:lvlJc w:val="left"/>
      <w:lvlText w:val="1"/>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bullet"/>
      <w:start w:val="1"/>
    </w:lvl>
  </w:abstractNum>
  <w:abstractNum w:abstractNumId="21">
    <w:nsid w:val="5577F8E1"/>
    <w:multiLevelType w:val="hybridMultilevel"/>
    <w:lvl w:ilvl="0">
      <w:lvlJc w:val="left"/>
      <w:lvlText w:val="1"/>
      <w:numFmt w:val="bullet"/>
      <w:start w:val="1"/>
    </w:lvl>
  </w:abstractNum>
  <w:abstractNum w:abstractNumId="22">
    <w:nsid w:val="440BADFC"/>
    <w:multiLevelType w:val="hybridMultilevel"/>
    <w:lvl w:ilvl="0">
      <w:lvlJc w:val="left"/>
      <w:lvlText w:val="%1."/>
      <w:numFmt w:val="decimal"/>
      <w:start w:val="14"/>
    </w:lvl>
    <w:lvl w:ilvl="1">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bullet"/>
      <w:start w:val="1"/>
    </w:lvl>
  </w:abstractNum>
  <w:abstractNum w:abstractNumId="27">
    <w:nsid w:val="5C482A97"/>
    <w:multiLevelType w:val="hybridMultilevel"/>
    <w:lvl w:ilvl="0">
      <w:lvlJc w:val="left"/>
      <w:lvlText w:val="•"/>
      <w:numFmt w:val="bullet"/>
      <w:start w:val="1"/>
    </w:lvl>
    <w:lvl w:ilvl="1">
      <w:lvlJc w:val="left"/>
      <w:lvlText w:val="2"/>
      <w:numFmt w:val="bullet"/>
      <w:start w:val="1"/>
    </w:lvl>
  </w:abstractNum>
  <w:abstractNum w:abstractNumId="28">
    <w:nsid w:val="2463B9EA"/>
    <w:multiLevelType w:val="hybridMultilevel"/>
    <w:lvl w:ilvl="0">
      <w:lvlJc w:val="left"/>
      <w:lvlText w:val="1"/>
      <w:numFmt w:val="bullet"/>
      <w:start w:val="1"/>
    </w:lvl>
  </w:abstractNum>
  <w:abstractNum w:abstractNumId="29">
    <w:nsid w:val="5E884ADC"/>
    <w:multiLevelType w:val="hybridMultilevel"/>
    <w:lvl w:ilvl="0">
      <w:lvlJc w:val="left"/>
      <w:lvlText w:val="•"/>
      <w:numFmt w:val="bullet"/>
      <w:start w:val="1"/>
    </w:lvl>
    <w:lvl w:ilvl="1">
      <w:lvlJc w:val="left"/>
      <w:lvlText w:val="2"/>
      <w:numFmt w:val="bullet"/>
      <w:start w:val="1"/>
    </w:lvl>
  </w:abstractNum>
  <w:abstractNum w:abstractNumId="30">
    <w:nsid w:val="51EAD36B"/>
    <w:multiLevelType w:val="hybridMultilevel"/>
    <w:lvl w:ilvl="0">
      <w:lvlJc w:val="left"/>
      <w:lvlText w:val="•"/>
      <w:numFmt w:val="bullet"/>
      <w:start w:val="1"/>
    </w:lvl>
    <w:lvl w:ilvl="1">
      <w:lvlJc w:val="left"/>
      <w:lvlText w:val="1"/>
      <w:numFmt w:val="bullet"/>
      <w:start w:val="1"/>
    </w:lvl>
  </w:abstractNum>
  <w:abstractNum w:abstractNumId="31">
    <w:nsid w:val="2D517796"/>
    <w:multiLevelType w:val="hybridMultilevel"/>
    <w:lvl w:ilvl="0">
      <w:lvlJc w:val="left"/>
      <w:lvlText w:val="•"/>
      <w:numFmt w:val="bullet"/>
      <w:start w:val="1"/>
    </w:lvl>
    <w:lvl w:ilvl="1">
      <w:lvlJc w:val="left"/>
      <w:lvlText w:val="1"/>
      <w:numFmt w:val="bullet"/>
      <w:start w:val="1"/>
    </w:lvl>
  </w:abstractNum>
  <w:abstractNum w:abstractNumId="32">
    <w:nsid w:val="580BD78F"/>
    <w:multiLevelType w:val="hybridMultilevel"/>
    <w:lvl w:ilvl="0">
      <w:lvlJc w:val="left"/>
      <w:lvlText w:val="•"/>
      <w:numFmt w:val="bullet"/>
      <w:start w:val="1"/>
    </w:lvl>
    <w:lvl w:ilvl="1">
      <w:lvlJc w:val="left"/>
      <w:lvlText w:val="1"/>
      <w:numFmt w:val="bullet"/>
      <w:start w:val="1"/>
    </w:lvl>
  </w:abstractNum>
  <w:abstractNum w:abstractNumId="33">
    <w:nsid w:val="153EA438"/>
    <w:multiLevelType w:val="hybridMultilevel"/>
    <w:lvl w:ilvl="0">
      <w:lvlJc w:val="left"/>
      <w:lvlText w:val="•"/>
      <w:numFmt w:val="bullet"/>
      <w:start w:val="1"/>
    </w:lvl>
    <w:lvl w:ilvl="1">
      <w:lvlJc w:val="left"/>
      <w:lvlText w:val="1"/>
      <w:numFmt w:val="bullet"/>
      <w:start w:val="1"/>
    </w:lvl>
  </w:abstractNum>
  <w:abstractNum w:abstractNumId="34">
    <w:nsid w:val="3855585C"/>
    <w:multiLevelType w:val="hybridMultilevel"/>
    <w:lvl w:ilvl="0">
      <w:lvlJc w:val="left"/>
      <w:lvlText w:val="•"/>
      <w:numFmt w:val="bullet"/>
      <w:start w:val="1"/>
    </w:lvl>
    <w:lvl w:ilvl="1">
      <w:lvlJc w:val="left"/>
      <w:lvlText w:val="1"/>
      <w:numFmt w:val="bullet"/>
      <w:start w:val="1"/>
    </w:lvl>
  </w:abstractNum>
  <w:abstractNum w:abstractNumId="35">
    <w:nsid w:val="70A64E2A"/>
    <w:multiLevelType w:val="hybridMultilevel"/>
    <w:lvl w:ilvl="0">
      <w:lvlJc w:val="left"/>
      <w:lvlText w:val="•"/>
      <w:numFmt w:val="bullet"/>
      <w:start w:val="1"/>
    </w:lvl>
    <w:lvl w:ilvl="1">
      <w:lvlJc w:val="left"/>
      <w:lvlText w:val="1"/>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bullet"/>
      <w:start w:val="1"/>
    </w:lvl>
  </w:abstractNum>
  <w:abstractNum w:abstractNumId="39">
    <w:nsid w:val="725A06FB"/>
    <w:multiLevelType w:val="hybridMultilevel"/>
    <w:lvl w:ilvl="0">
      <w:lvlJc w:val="left"/>
      <w:lvlText w:val="2"/>
      <w:numFmt w:val="bullet"/>
      <w:start w:val="1"/>
    </w:lvl>
  </w:abstractNum>
  <w:abstractNum w:abstractNumId="40">
    <w:nsid w:val="2CD89A32"/>
    <w:multiLevelType w:val="hybridMultilevel"/>
    <w:lvl w:ilvl="0">
      <w:lvlJc w:val="left"/>
      <w:lvlText w:val="1"/>
      <w:numFmt w:val="bullet"/>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2"/>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04"/>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97" Type="http://schemas.openxmlformats.org/officeDocument/2006/relationships/hyperlink" Target="https://www.sec.gov/Archives/edgar/data/96869/000009686921000016/ex31restatedcertificateo.htm" TargetMode="External"/><Relationship Id="rId98" Type="http://schemas.openxmlformats.org/officeDocument/2006/relationships/hyperlink" Target="https://www.sec.gov/Archives/edgar/data/96869/000119312523079260/d487105dex31.htm" TargetMode="External"/><Relationship Id="rId99" Type="http://schemas.openxmlformats.org/officeDocument/2006/relationships/hyperlink" Target="https://www.sec.gov/Archives/edgar/data/96869/000119312505245123/dex41.htm" TargetMode="External"/><Relationship Id="rId100" Type="http://schemas.openxmlformats.org/officeDocument/2006/relationships/hyperlink" Target="https://www.sec.gov/Archives/edgar/data/96869/000119312519119877/d718363dex46.htm" TargetMode="External"/><Relationship Id="rId101" Type="http://schemas.openxmlformats.org/officeDocument/2006/relationships/hyperlink" Target="https://www.sec.gov/Archives/edgar/data/96869/0000096869-98-000002.txt" TargetMode="External"/><Relationship Id="rId102" Type="http://schemas.openxmlformats.org/officeDocument/2006/relationships/hyperlink" Target="https://www.sec.gov/Archives/edgar/data/96869/000119312509042772/dex109.htm" TargetMode="External"/><Relationship Id="rId103" Type="http://schemas.openxmlformats.org/officeDocument/2006/relationships/hyperlink" Target="https://www.sec.gov/Archives/edgar/data/96869/000119312509042772/dex1010.htm" TargetMode="External"/><Relationship Id="rId104" Type="http://schemas.openxmlformats.org/officeDocument/2006/relationships/hyperlink" Target="https://www.sec.gov/Archives/edgar/data/96869/000102140802004535/dex1016.txt" TargetMode="External"/><Relationship Id="rId105" Type="http://schemas.openxmlformats.org/officeDocument/2006/relationships/hyperlink" Target="https://www.sec.gov/Archives/edgar/data/96869/000119312504082310/dex41.htm" TargetMode="External"/><Relationship Id="rId106" Type="http://schemas.openxmlformats.org/officeDocument/2006/relationships/hyperlink" Target="https://www.sec.gov/Archives/edgar/data/96869/000119312504082310/dex42.htm" TargetMode="External"/><Relationship Id="rId107" Type="http://schemas.openxmlformats.org/officeDocument/2006/relationships/hyperlink" Target="https://www.sec.gov/Archives/edgar/data/96869/000119312505051499/dex1021.htm" TargetMode="External"/><Relationship Id="rId108" Type="http://schemas.openxmlformats.org/officeDocument/2006/relationships/hyperlink" Target="https://www.sec.gov/Archives/edgar/data/96869/000119312505051499/dex1023.htm" TargetMode="External"/><Relationship Id="rId109" Type="http://schemas.openxmlformats.org/officeDocument/2006/relationships/hyperlink" Target="https://www.sec.gov/Archives/edgar/data/96869/000119312505051499/dex1022.htm" TargetMode="External"/><Relationship Id="rId110" Type="http://schemas.openxmlformats.org/officeDocument/2006/relationships/hyperlink" Target="https://www.sec.gov/Archives/edgar/data/96869/000119312506118520/dex1024.htm" TargetMode="External"/><Relationship Id="rId111" Type="http://schemas.openxmlformats.org/officeDocument/2006/relationships/hyperlink" Target="https://www.sec.gov/Archives/edgar/data/96869/000119312508138009/dex1028.htm" TargetMode="External"/><Relationship Id="rId112" Type="http://schemas.openxmlformats.org/officeDocument/2006/relationships/hyperlink" Target="https://www.sec.gov/Archives/edgar/data/96869/000119312509170594/dex1025.htm" TargetMode="External"/><Relationship Id="rId113" Type="http://schemas.openxmlformats.org/officeDocument/2006/relationships/hyperlink" Target="https://www.sec.gov/Archives/edgar/data/96869/000144530513001209/exhibit1026-execagreementa.htm" TargetMode="External"/><Relationship Id="rId114" Type="http://schemas.openxmlformats.org/officeDocument/2006/relationships/hyperlink" Target="https://www.sec.gov/Archives/edgar/data/96869/000119312513246605/d549609dex1027.htm" TargetMode="External"/><Relationship Id="rId115" Type="http://schemas.openxmlformats.org/officeDocument/2006/relationships/hyperlink" Target="https://www.sec.gov/Archives/edgar/data/96869/000119312513326495/d581835dex101.htm" TargetMode="External"/><Relationship Id="rId116" Type="http://schemas.openxmlformats.org/officeDocument/2006/relationships/hyperlink" Target="https://www.sec.gov/Archives/edgar/data/96869/000009686914000009/exhibit1029tmvamendments20.htm" TargetMode="External"/><Relationship Id="rId119" Type="http://schemas.openxmlformats.org/officeDocument/2006/relationships/hyperlink" Target="https://www.sec.gov/Archives/edgar/data/96869/000119312514270067/d758856dex1030.htm" TargetMode="External"/><Relationship Id="rId120" Type="http://schemas.openxmlformats.org/officeDocument/2006/relationships/hyperlink" Target="https://www.sec.gov/Archives/edgar/data/96869/000009686915000003/exhibit1034calpineagreemen.htm" TargetMode="External"/><Relationship Id="rId121" Type="http://schemas.openxmlformats.org/officeDocument/2006/relationships/hyperlink" Target="https://www.sec.gov/Archives/edgar/data/96869/000009686915000010/ex1035q32015.htm" TargetMode="External"/><Relationship Id="rId122" Type="http://schemas.openxmlformats.org/officeDocument/2006/relationships/hyperlink" Target="https://www.sec.gov/Archives/edgar/data/96869/000009686916000017/ex1037limitedliabilityagre.htm" TargetMode="External"/><Relationship Id="rId123" Type="http://schemas.openxmlformats.org/officeDocument/2006/relationships/hyperlink" Target="https://www.sec.gov/Archives/edgar/data/96869/000009686916000019/ex1038llagreementoftrc-mrc1.htm" TargetMode="External"/><Relationship Id="rId124" Type="http://schemas.openxmlformats.org/officeDocument/2006/relationships/hyperlink" Target="https://www.sec.gov/Archives/edgar/data/96869/000009686917000002/exhibit1039centennialredem.htm" TargetMode="External"/><Relationship Id="rId125" Type="http://schemas.openxmlformats.org/officeDocument/2006/relationships/hyperlink" Target="https://www.sec.gov/Archives/edgar/data/96869/000009686917000002/exhibit1040firstamendmentt.htm" TargetMode="External"/><Relationship Id="rId126" Type="http://schemas.openxmlformats.org/officeDocument/2006/relationships/hyperlink" Target="https://www.sec.gov/Archives/edgar/data/96869/000009686917000002/exhibit1041secondamendment.htm" TargetMode="External"/><Relationship Id="rId127" Type="http://schemas.openxmlformats.org/officeDocument/2006/relationships/hyperlink" Target="https://www.sec.gov/Archives/edgar/data/96869/000009686918000015/ex1042trcmrc3llc.htm" TargetMode="External"/><Relationship Id="rId128" Type="http://schemas.openxmlformats.org/officeDocument/2006/relationships/hyperlink" Target="https://www.sec.gov/Archives/edgar/data/96869/000009686919000004/exhibit1043201810k.htm" TargetMode="External"/><Relationship Id="rId129" Type="http://schemas.openxmlformats.org/officeDocument/2006/relationships/hyperlink" Target="https://www.sec.gov/Archives/edgar/data/96869/000009686919000004/exhibit1044201810k.htm" TargetMode="External"/><Relationship Id="rId130" Type="http://schemas.openxmlformats.org/officeDocument/2006/relationships/hyperlink" Target="https://www.sec.gov/Archives/edgar/data/96869/000009686920000007/exhibit1047-gregbseverance.htm" TargetMode="External"/><Relationship Id="rId131" Type="http://schemas.openxmlformats.org/officeDocument/2006/relationships/hyperlink" Target="https://www.sec.gov/Archives/edgar/data/0000096869/000009686921000011/ex1048mrc4llc.htm" TargetMode="External"/><Relationship Id="rId132" Type="http://schemas.openxmlformats.org/officeDocument/2006/relationships/hyperlink" Target="https://www.sec.gov/Archives/edgar/data/96869/000009686922000005/exhibit1048centennialcrf.htm" TargetMode="External"/><Relationship Id="rId133" Type="http://schemas.openxmlformats.org/officeDocument/2006/relationships/hyperlink" Target="https://www.sec.gov/Archives/edgar/data/96869/000009686922000005/exhibit1050trc-mrcmultii.htm" TargetMode="External"/><Relationship Id="rId134" Type="http://schemas.openxmlformats.org/officeDocument/2006/relationships/hyperlink" Target="https://www.sec.gov/Archives/edgar/data/96869/000009686922000009/ex1051mrc5.htm" TargetMode="External"/><Relationship Id="rId135" Type="http://schemas.openxmlformats.org/officeDocument/2006/relationships/hyperlink" Target="https://www.sec.gov/Archives/edgar/data/96869/000009686922000012/ex1052creditagreementbof.htm" TargetMode="External"/><Relationship Id="rId136" Type="http://schemas.openxmlformats.org/officeDocument/2006/relationships/hyperlink" Target="https://www.sec.gov/Archives/edgar/data/96869/000009686923000014/ex1053mhsevag.htm" TargetMode="External"/><Relationship Id="rId137" Type="http://schemas.openxmlformats.org/officeDocument/2006/relationships/hyperlink" Target="https://www.sec.gov/Archives/edgar/data/96869/000119312523280777/d518195dex1001.htm" TargetMode="External"/><Relationship Id="rId138" Type="http://schemas.openxmlformats.org/officeDocument/2006/relationships/hyperlink" Target="https://www.sec.gov/Archives/edgar/data/96869/000119312524076651/d796643dex1001.htm" TargetMode="External"/><Relationship Id="rId139" Type="http://schemas.openxmlformats.org/officeDocument/2006/relationships/hyperlink" Target="https://www.sec.gov/Archives/edgar/data/96869/000009686924000014/trcdpllc.htm" TargetMode="External"/><Relationship Id="rId140" Type="http://schemas.openxmlformats.org/officeDocument/2006/relationships/hyperlink" Target="https://www.sec.gov/Archives/edgar/data/96869/000119312525024064/d930665dex1001.htm" TargetMode="External"/><Relationship Id="rId141" Type="http://schemas.openxmlformats.org/officeDocument/2006/relationships/hyperlink" Target="https://www.sec.gov/Archives/edgar/data/96869/000119312524253871/d901734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2025-08-07T14:43:22Z</dcterms:created>
  <dcterms:modified xsi:type="dcterms:W3CDTF">2025-08-07T14:43:22Z</dcterms:modified>
</cp:coreProperties>
</file>